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הילה מלר-שלו</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6142FE" w:rsidRDefault="005401FE">
                <w:pPr>
                  <w:rPr>
                    <w:rFonts w:ascii="Arial (W1)" w:hAnsi="Arial (W1)"/>
                    <w:b/>
                    <w:bCs/>
                    <w:noProof w:val="0"/>
                    <w:sz w:val="28"/>
                    <w:szCs w:val="28"/>
                  </w:rPr>
                </w:pPr>
                <w:r>
                  <w:rPr>
                    <w:rFonts w:hint="cs"/>
                    <w:b/>
                    <w:bCs/>
                    <w:noProof w:val="0"/>
                    <w:sz w:val="28"/>
                    <w:rtl/>
                  </w:rPr>
                  <w:t>תובעת/נתבעת</w:t>
                </w:r>
              </w:p>
            </w:sdtContent>
          </w:sdt>
        </w:tc>
        <w:tc>
          <w:tcPr>
            <w:tcW w:w="5571" w:type="dxa"/>
          </w:tcPr>
          <w:p w:rsidR="006816EC" w:rsidRDefault="006816EC">
            <w:pPr>
              <w:rPr>
                <w:rFonts w:ascii="Arial (W1)" w:hAnsi="Arial (W1)"/>
                <w:b/>
                <w:bCs/>
                <w:noProof w:val="0"/>
                <w:sz w:val="28"/>
                <w:szCs w:val="28"/>
                <w:rtl/>
              </w:rPr>
            </w:pPr>
          </w:p>
          <w:p w:rsidR="006816EC" w:rsidRDefault="00A71419" w:rsidP="00A71419">
            <w:pPr>
              <w:rPr>
                <w:rFonts w:ascii="Arial (W1)" w:hAnsi="Arial (W1)"/>
                <w:b/>
                <w:bCs/>
                <w:noProof w:val="0"/>
                <w:sz w:val="28"/>
                <w:szCs w:val="28"/>
              </w:rPr>
            </w:pPr>
            <w:r>
              <w:rPr>
                <w:rFonts w:hint="cs"/>
                <w:b/>
                <w:bCs/>
                <w:noProof w:val="0"/>
                <w:sz w:val="28"/>
                <w:rtl/>
              </w:rPr>
              <w:t>פלונית</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BB18F9">
            <w:pPr>
              <w:rPr>
                <w:rFonts w:ascii="Arial (W1)" w:hAnsi="Arial (W1)"/>
                <w:b/>
                <w:bCs/>
                <w:noProof w:val="0"/>
                <w:sz w:val="28"/>
                <w:szCs w:val="28"/>
              </w:rPr>
            </w:pPr>
            <w:sdt>
              <w:sdtPr>
                <w:rPr>
                  <w:rFonts w:hint="cs"/>
                  <w:rtl/>
                </w:rPr>
                <w:alias w:val="1184"/>
                <w:tag w:val="1184"/>
                <w:id w:val="-910234160"/>
                <w:text w:multiLine="1"/>
              </w:sdtPr>
              <w:sdtEndPr/>
              <w:sdtContent>
                <w:r w:rsidR="00024EAF">
                  <w:rPr>
                    <w:rFonts w:hint="cs"/>
                    <w:b/>
                    <w:bCs/>
                    <w:noProof w:val="0"/>
                    <w:sz w:val="28"/>
                    <w:rtl/>
                  </w:rPr>
                  <w:t>נתבע/תובע</w:t>
                </w:r>
              </w:sdtContent>
            </w:sdt>
          </w:p>
        </w:tc>
        <w:tc>
          <w:tcPr>
            <w:tcW w:w="5571" w:type="dxa"/>
          </w:tcPr>
          <w:p w:rsidR="006816EC" w:rsidRDefault="006816EC">
            <w:pPr>
              <w:rPr>
                <w:rFonts w:ascii="Arial (W1)" w:hAnsi="Arial (W1)"/>
                <w:b/>
                <w:bCs/>
                <w:noProof w:val="0"/>
                <w:sz w:val="28"/>
                <w:szCs w:val="28"/>
                <w:rtl/>
              </w:rPr>
            </w:pPr>
          </w:p>
          <w:p w:rsidR="006816EC" w:rsidRDefault="00A71419">
            <w:pPr>
              <w:rPr>
                <w:rFonts w:ascii="Arial (W1)" w:hAnsi="Arial (W1)"/>
                <w:b/>
                <w:bCs/>
                <w:noProof w:val="0"/>
                <w:sz w:val="28"/>
                <w:szCs w:val="28"/>
              </w:rPr>
            </w:pPr>
            <w:r>
              <w:rPr>
                <w:rFonts w:hint="cs"/>
                <w:b/>
                <w:bCs/>
                <w:noProof w:val="0"/>
                <w:sz w:val="28"/>
                <w:rtl/>
              </w:rPr>
              <w:t>פלמוני</w:t>
            </w:r>
          </w:p>
        </w:tc>
      </w:tr>
    </w:tbl>
    <w:p w:rsidR="006816EC" w:rsidRDefault="006816EC" w:rsidP="003823DA">
      <w:pPr>
        <w:suppressLineNumbers/>
        <w:rPr>
          <w:rtl/>
        </w:rPr>
      </w:pPr>
    </w:p>
    <w:p w:rsidR="00431488" w:rsidRDefault="00431488" w:rsidP="003823DA">
      <w:pPr>
        <w:suppressLineNumbers/>
        <w:rPr>
          <w:rtl/>
        </w:rPr>
      </w:pPr>
    </w:p>
    <w:p w:rsidR="00431488" w:rsidRDefault="00431488"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Pr="005D3876" w:rsidRDefault="005D3876" w:rsidP="00AF0DC6">
      <w:pPr>
        <w:spacing w:line="360" w:lineRule="auto"/>
        <w:jc w:val="both"/>
        <w:rPr>
          <w:rFonts w:ascii="Arial" w:hAnsi="Arial"/>
          <w:b/>
          <w:bCs/>
          <w:noProof w:val="0"/>
          <w:rtl/>
        </w:rPr>
      </w:pPr>
      <w:r>
        <w:rPr>
          <w:rFonts w:ascii="Arial" w:hAnsi="Arial" w:hint="cs"/>
          <w:noProof w:val="0"/>
          <w:rtl/>
        </w:rPr>
        <w:t xml:space="preserve"> </w:t>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001C7601">
        <w:rPr>
          <w:rFonts w:ascii="Arial" w:hAnsi="Arial" w:hint="cs"/>
          <w:noProof w:val="0"/>
          <w:rtl/>
        </w:rPr>
        <w:t xml:space="preserve">      </w:t>
      </w:r>
      <w:r>
        <w:rPr>
          <w:rFonts w:ascii="Arial" w:hAnsi="Arial" w:hint="cs"/>
          <w:noProof w:val="0"/>
          <w:rtl/>
        </w:rPr>
        <w:t xml:space="preserve">  </w:t>
      </w:r>
      <w:r w:rsidR="001C7601">
        <w:rPr>
          <w:rFonts w:ascii="Arial" w:hAnsi="Arial" w:hint="cs"/>
          <w:noProof w:val="0"/>
          <w:rtl/>
        </w:rPr>
        <w:t xml:space="preserve">       </w:t>
      </w:r>
      <w:r w:rsidR="00AF0DC6">
        <w:rPr>
          <w:rFonts w:ascii="Arial" w:hAnsi="Arial" w:hint="cs"/>
          <w:noProof w:val="0"/>
          <w:rtl/>
        </w:rPr>
        <w:t xml:space="preserve"> </w:t>
      </w:r>
      <w:r w:rsidR="00AF0DC6">
        <w:rPr>
          <w:rFonts w:ascii="Arial" w:hAnsi="Arial" w:hint="cs"/>
          <w:b/>
          <w:bCs/>
          <w:noProof w:val="0"/>
          <w:sz w:val="22"/>
          <w:szCs w:val="22"/>
          <w:rtl/>
        </w:rPr>
        <w:t>עותק</w:t>
      </w:r>
      <w:r w:rsidRPr="001C7601">
        <w:rPr>
          <w:rFonts w:ascii="Arial" w:hAnsi="Arial" w:hint="cs"/>
          <w:b/>
          <w:bCs/>
          <w:noProof w:val="0"/>
          <w:sz w:val="22"/>
          <w:szCs w:val="22"/>
          <w:rtl/>
        </w:rPr>
        <w:t xml:space="preserve"> ל</w:t>
      </w:r>
      <w:r w:rsidR="003B0DB8" w:rsidRPr="001C7601">
        <w:rPr>
          <w:rFonts w:ascii="Arial" w:hAnsi="Arial" w:hint="cs"/>
          <w:b/>
          <w:bCs/>
          <w:noProof w:val="0"/>
          <w:sz w:val="22"/>
          <w:szCs w:val="22"/>
          <w:rtl/>
        </w:rPr>
        <w:t>פרסום</w:t>
      </w:r>
    </w:p>
    <w:p w:rsidR="00AF0DC6" w:rsidRDefault="00AF0DC6" w:rsidP="004F54D7">
      <w:pPr>
        <w:spacing w:line="360" w:lineRule="auto"/>
        <w:jc w:val="both"/>
        <w:rPr>
          <w:rtl/>
        </w:rPr>
      </w:pPr>
    </w:p>
    <w:p w:rsidR="004F54D7" w:rsidRDefault="004F54D7" w:rsidP="004F54D7">
      <w:pPr>
        <w:spacing w:line="360" w:lineRule="auto"/>
        <w:jc w:val="both"/>
      </w:pPr>
      <w:r>
        <w:rPr>
          <w:rtl/>
        </w:rPr>
        <w:t>פסק דין זה ניתן במאוחד בשלושת ההליכים שבכותרת; שניים מהם, תביעה לפירוק שיתוף בדירת מגורים ולחיוב בדמי שימוש ראויים ותביעה לפיצויים בגין הפרת חוק איסור לשון הרע והפרת חוק הגנת הפרטיות הוגשו על-ידי התובעת; והליך נוסף, שהוגש ע"י הנתבע, שבמסגרתו עותר הנתבע להצהיר כי, הסכם הגירושין שנחתם בין הצדדים ביום 11.9.2017 ולא אושר ע"י בית הדין הרבני (שאליו הוגש), הוא בר תוקף.</w:t>
      </w:r>
    </w:p>
    <w:p w:rsidR="004F54D7" w:rsidRDefault="004F54D7" w:rsidP="004F54D7">
      <w:pPr>
        <w:spacing w:line="360" w:lineRule="auto"/>
        <w:jc w:val="both"/>
      </w:pPr>
    </w:p>
    <w:p w:rsidR="004F54D7" w:rsidRDefault="004F54D7" w:rsidP="004F54D7">
      <w:pPr>
        <w:spacing w:line="360" w:lineRule="auto"/>
        <w:jc w:val="both"/>
        <w:rPr>
          <w:b/>
          <w:bCs/>
          <w:u w:val="single"/>
          <w:rtl/>
        </w:rPr>
      </w:pPr>
      <w:r>
        <w:rPr>
          <w:b/>
          <w:bCs/>
          <w:u w:val="single"/>
          <w:rtl/>
        </w:rPr>
        <w:t>רקע עובדתי נדרש</w:t>
      </w:r>
    </w:p>
    <w:p w:rsidR="004F54D7" w:rsidRDefault="004F54D7" w:rsidP="005D3876">
      <w:pPr>
        <w:pStyle w:val="ad"/>
        <w:numPr>
          <w:ilvl w:val="0"/>
          <w:numId w:val="1"/>
        </w:numPr>
        <w:spacing w:line="360" w:lineRule="auto"/>
        <w:ind w:left="357" w:hanging="357"/>
        <w:jc w:val="both"/>
        <w:rPr>
          <w:rtl/>
        </w:rPr>
      </w:pPr>
      <w:r>
        <w:rPr>
          <w:rtl/>
        </w:rPr>
        <w:t>התובעת (להלן גם: "</w:t>
      </w:r>
      <w:r>
        <w:rPr>
          <w:b/>
          <w:bCs/>
          <w:rtl/>
        </w:rPr>
        <w:t>האשה</w:t>
      </w:r>
      <w:r>
        <w:rPr>
          <w:rtl/>
        </w:rPr>
        <w:t>") והנתבע (להלן גם: "</w:t>
      </w:r>
      <w:r>
        <w:rPr>
          <w:b/>
          <w:bCs/>
          <w:rtl/>
        </w:rPr>
        <w:t>האיש"</w:t>
      </w:r>
      <w:r>
        <w:rPr>
          <w:rtl/>
        </w:rPr>
        <w:t>) נישאו זל"ז ביום</w:t>
      </w:r>
      <w:r w:rsidR="005D3876">
        <w:rPr>
          <w:rFonts w:hint="cs"/>
          <w:rtl/>
        </w:rPr>
        <w:t xml:space="preserve"> 1979</w:t>
      </w:r>
      <w:r>
        <w:rPr>
          <w:rtl/>
        </w:rPr>
        <w:t>.</w:t>
      </w:r>
      <w:r w:rsidR="005D3876">
        <w:t>x.x</w:t>
      </w:r>
      <w:r>
        <w:rPr>
          <w:rtl/>
        </w:rPr>
        <w:t>. (להלן יכונו יחדיו: "</w:t>
      </w:r>
      <w:r>
        <w:rPr>
          <w:b/>
          <w:bCs/>
          <w:rtl/>
        </w:rPr>
        <w:t>הצדדים</w:t>
      </w:r>
      <w:r>
        <w:rPr>
          <w:rtl/>
        </w:rPr>
        <w:t>" או "</w:t>
      </w:r>
      <w:r>
        <w:rPr>
          <w:b/>
          <w:bCs/>
          <w:rtl/>
        </w:rPr>
        <w:t xml:space="preserve">בני הזוג </w:t>
      </w:r>
      <w:r>
        <w:rPr>
          <w:rtl/>
        </w:rPr>
        <w:t>"); במהלך נישואיהם נולדו להם שלושה ילדים, כולם בגירים, לחלקם ילדים משלהם.</w:t>
      </w:r>
    </w:p>
    <w:p w:rsidR="004F54D7" w:rsidRDefault="004F54D7" w:rsidP="004F54D7">
      <w:pPr>
        <w:pStyle w:val="ad"/>
      </w:pPr>
    </w:p>
    <w:p w:rsidR="004F54D7" w:rsidRDefault="005D3876" w:rsidP="000C4AE2">
      <w:pPr>
        <w:pStyle w:val="ad"/>
        <w:numPr>
          <w:ilvl w:val="0"/>
          <w:numId w:val="1"/>
        </w:numPr>
        <w:spacing w:line="360" w:lineRule="auto"/>
        <w:ind w:left="357" w:hanging="357"/>
        <w:jc w:val="both"/>
        <w:rPr>
          <w:rtl/>
        </w:rPr>
      </w:pPr>
      <w:r>
        <w:rPr>
          <w:rtl/>
        </w:rPr>
        <w:t>האשה עובדת ב</w:t>
      </w:r>
      <w:r w:rsidR="000C4AE2">
        <w:rPr>
          <w:rFonts w:hint="cs"/>
          <w:rtl/>
        </w:rPr>
        <w:t>מוסד בנקאי</w:t>
      </w:r>
      <w:r>
        <w:rPr>
          <w:rtl/>
        </w:rPr>
        <w:t xml:space="preserve"> מזה </w:t>
      </w:r>
      <w:r>
        <w:rPr>
          <w:rFonts w:hint="cs"/>
          <w:rtl/>
        </w:rPr>
        <w:t xml:space="preserve">עשרות </w:t>
      </w:r>
      <w:r w:rsidR="004F54D7">
        <w:rPr>
          <w:rtl/>
        </w:rPr>
        <w:t xml:space="preserve">שנים, וממלאת תפקיד בכיר והאיש עבד בעברו כחשמלאי, אך אינו עובד כבר מספר שנים ומקבל קצבת נכות מהמל"ל. </w:t>
      </w:r>
    </w:p>
    <w:p w:rsidR="004F54D7" w:rsidRDefault="004F54D7" w:rsidP="004F54D7">
      <w:pPr>
        <w:pStyle w:val="ad"/>
      </w:pPr>
    </w:p>
    <w:p w:rsidR="004F54D7" w:rsidRDefault="004F54D7" w:rsidP="004F54D7">
      <w:pPr>
        <w:pStyle w:val="ad"/>
        <w:numPr>
          <w:ilvl w:val="0"/>
          <w:numId w:val="1"/>
        </w:numPr>
        <w:spacing w:line="360" w:lineRule="auto"/>
        <w:ind w:left="357" w:hanging="357"/>
        <w:jc w:val="both"/>
        <w:rPr>
          <w:rtl/>
        </w:rPr>
      </w:pPr>
      <w:r>
        <w:rPr>
          <w:rtl/>
        </w:rPr>
        <w:t>לצדדים דירת מגורים בת 5 חדרים, בבעלותם המשותפת (להלן: "</w:t>
      </w:r>
      <w:r>
        <w:rPr>
          <w:b/>
          <w:bCs/>
          <w:rtl/>
        </w:rPr>
        <w:t>דירת המגורים</w:t>
      </w:r>
      <w:r>
        <w:rPr>
          <w:rtl/>
        </w:rPr>
        <w:t xml:space="preserve">"). </w:t>
      </w:r>
    </w:p>
    <w:p w:rsidR="004F54D7" w:rsidRDefault="004F54D7" w:rsidP="004F54D7">
      <w:pPr>
        <w:pStyle w:val="ad"/>
      </w:pPr>
    </w:p>
    <w:p w:rsidR="004F54D7" w:rsidRDefault="004F54D7" w:rsidP="004F54D7">
      <w:pPr>
        <w:pStyle w:val="ad"/>
        <w:numPr>
          <w:ilvl w:val="0"/>
          <w:numId w:val="1"/>
        </w:numPr>
        <w:spacing w:line="360" w:lineRule="auto"/>
        <w:ind w:left="357" w:hanging="357"/>
        <w:jc w:val="both"/>
        <w:rPr>
          <w:rtl/>
        </w:rPr>
      </w:pPr>
      <w:r>
        <w:rPr>
          <w:rtl/>
        </w:rPr>
        <w:t>במהלך שנת 2017, הפרידו הצדדים מגוריהם, עת האשה יצאה מדירת המגורים והאיש נותר להתגורר בה והוא גר בה מאז ועד היום; תוך שהבסיס להחזקתו הבלעדית של האיש מאז ועד היום בדירת המגורים שנוי במחלוקת בין הצדדים.</w:t>
      </w:r>
    </w:p>
    <w:p w:rsidR="004F54D7" w:rsidRDefault="004F54D7" w:rsidP="004F54D7">
      <w:pPr>
        <w:pStyle w:val="ad"/>
      </w:pPr>
    </w:p>
    <w:p w:rsidR="004F54D7" w:rsidRDefault="004F54D7" w:rsidP="004F54D7">
      <w:pPr>
        <w:pStyle w:val="ad"/>
        <w:numPr>
          <w:ilvl w:val="0"/>
          <w:numId w:val="1"/>
        </w:numPr>
        <w:spacing w:line="360" w:lineRule="auto"/>
        <w:ind w:left="357" w:hanging="357"/>
        <w:jc w:val="both"/>
        <w:rPr>
          <w:rtl/>
        </w:rPr>
      </w:pPr>
      <w:r>
        <w:rPr>
          <w:rtl/>
        </w:rPr>
        <w:lastRenderedPageBreak/>
        <w:t>בין הצדדים נחתם הסכם גירושין ביום 11.9.17 ונקבע מועד לאישורו בבית הדין הרבני ביום 14.11.17; ההסכם לא אושר בהעדר הסכמת האשה, והוא העומד, בין היתר, בלב אחד ההליכים שנוהלו בין הצדדים בעצימות גבוהה.</w:t>
      </w:r>
    </w:p>
    <w:p w:rsidR="004F54D7" w:rsidRDefault="004F54D7" w:rsidP="004F54D7">
      <w:pPr>
        <w:pStyle w:val="ad"/>
      </w:pPr>
    </w:p>
    <w:p w:rsidR="004F54D7" w:rsidRDefault="004F54D7" w:rsidP="002B491F">
      <w:pPr>
        <w:pStyle w:val="ad"/>
        <w:numPr>
          <w:ilvl w:val="0"/>
          <w:numId w:val="1"/>
        </w:numPr>
        <w:spacing w:line="360" w:lineRule="auto"/>
        <w:ind w:left="357" w:hanging="357"/>
        <w:jc w:val="both"/>
        <w:rPr>
          <w:rtl/>
        </w:rPr>
      </w:pPr>
      <w:r>
        <w:rPr>
          <w:rtl/>
        </w:rPr>
        <w:t xml:space="preserve">הצדדים התייצבו בפני בית הדין לדיון שנקבע לצורך אישור ההסכם; בפרוטוקול הדיון שנערך בבית הדין (ר' תצהיר עדות האשה נספח </w:t>
      </w:r>
      <w:r w:rsidR="002B491F">
        <w:rPr>
          <w:rFonts w:hint="cs"/>
          <w:rtl/>
        </w:rPr>
        <w:t>ג</w:t>
      </w:r>
      <w:r>
        <w:rPr>
          <w:rtl/>
        </w:rPr>
        <w:t xml:space="preserve">') עולים הדברים הבאים שנאמרו ע"י ביה"ד לצדדים:  </w:t>
      </w:r>
    </w:p>
    <w:p w:rsidR="004F54D7" w:rsidRDefault="004F54D7" w:rsidP="004F54D7">
      <w:pPr>
        <w:pStyle w:val="ad"/>
        <w:spacing w:line="360" w:lineRule="auto"/>
        <w:ind w:left="357"/>
        <w:jc w:val="both"/>
        <w:rPr>
          <w:rFonts w:ascii="David" w:hAnsi="David"/>
        </w:rPr>
      </w:pPr>
      <w:r>
        <w:rPr>
          <w:rFonts w:ascii="David" w:hAnsi="David"/>
          <w:b/>
          <w:bCs/>
          <w:i/>
          <w:iCs/>
          <w:rtl/>
        </w:rPr>
        <w:t xml:space="preserve">"ביה"ד: לפי ההסכם היא נותנת לך את הכל" </w:t>
      </w:r>
      <w:r>
        <w:rPr>
          <w:rFonts w:ascii="David" w:hAnsi="David"/>
          <w:i/>
          <w:iCs/>
          <w:rtl/>
        </w:rPr>
        <w:t>(עמ' 2 ש' 41)</w:t>
      </w:r>
      <w:r>
        <w:rPr>
          <w:rFonts w:ascii="David" w:hAnsi="David"/>
          <w:b/>
          <w:bCs/>
          <w:i/>
          <w:iCs/>
          <w:rtl/>
        </w:rPr>
        <w:t>; "ביה"ד:  זה הסכם של עושק. אנחנו לא נאשר את ההסכם."</w:t>
      </w:r>
      <w:r>
        <w:rPr>
          <w:rFonts w:ascii="David" w:hAnsi="David"/>
          <w:b/>
          <w:bCs/>
          <w:rtl/>
        </w:rPr>
        <w:t xml:space="preserve"> </w:t>
      </w:r>
      <w:r>
        <w:rPr>
          <w:rFonts w:ascii="David" w:hAnsi="David"/>
          <w:rtl/>
        </w:rPr>
        <w:t>(עמ' 2 לפרו' ש' 53)</w:t>
      </w:r>
      <w:r>
        <w:rPr>
          <w:rFonts w:ascii="David" w:hAnsi="David"/>
          <w:i/>
          <w:iCs/>
          <w:rtl/>
        </w:rPr>
        <w:t xml:space="preserve">  </w:t>
      </w:r>
      <w:r>
        <w:rPr>
          <w:rFonts w:ascii="David" w:hAnsi="David"/>
          <w:b/>
          <w:bCs/>
          <w:i/>
          <w:iCs/>
          <w:rtl/>
        </w:rPr>
        <w:t>"הפרוטוקול נכתב. תפתחו תביעות, ההסכם הוא לא הסכם הגיוני"</w:t>
      </w:r>
      <w:r>
        <w:rPr>
          <w:rFonts w:ascii="David" w:hAnsi="David"/>
          <w:b/>
          <w:bCs/>
          <w:rtl/>
        </w:rPr>
        <w:t xml:space="preserve"> </w:t>
      </w:r>
      <w:r>
        <w:rPr>
          <w:rFonts w:ascii="David" w:hAnsi="David"/>
          <w:rtl/>
        </w:rPr>
        <w:t>(עמ' 2 ש' 55); ובסיפא לפרו':</w:t>
      </w:r>
      <w:r>
        <w:rPr>
          <w:rFonts w:ascii="David" w:hAnsi="David"/>
          <w:b/>
          <w:bCs/>
          <w:i/>
          <w:iCs/>
          <w:rtl/>
        </w:rPr>
        <w:t xml:space="preserve"> "ביה"ד: אם אין הסכמה, אין לנו בכלל סמכות לדון בתיק המונח לפנינו והתיר אמור להסגר. אפשר לפתוח תיק ליישוב סכסוך, גם אם שני הצדדים יסכימו להסכם הזה אנחנו לא נאשר את ההסכם"</w:t>
      </w:r>
      <w:r>
        <w:rPr>
          <w:rFonts w:ascii="David" w:hAnsi="David"/>
          <w:rtl/>
        </w:rPr>
        <w:t xml:space="preserve"> (עמ' 3, ש' 58-59).</w:t>
      </w:r>
    </w:p>
    <w:p w:rsidR="004F54D7" w:rsidRDefault="004F54D7" w:rsidP="004F54D7">
      <w:pPr>
        <w:pStyle w:val="ad"/>
        <w:spacing w:line="360" w:lineRule="auto"/>
        <w:ind w:left="357"/>
        <w:jc w:val="both"/>
        <w:rPr>
          <w:rtl/>
        </w:rPr>
      </w:pPr>
    </w:p>
    <w:p w:rsidR="004F54D7" w:rsidRDefault="004F54D7" w:rsidP="004F54D7">
      <w:pPr>
        <w:pStyle w:val="ad"/>
        <w:numPr>
          <w:ilvl w:val="0"/>
          <w:numId w:val="1"/>
        </w:numPr>
        <w:spacing w:line="360" w:lineRule="auto"/>
        <w:ind w:left="357" w:hanging="357"/>
        <w:jc w:val="both"/>
      </w:pPr>
      <w:r>
        <w:rPr>
          <w:rtl/>
        </w:rPr>
        <w:t xml:space="preserve">לאחר הדיון ניתנה ביום 15.11.17 החלטת בית הדין הקובעת: </w:t>
      </w:r>
      <w:r>
        <w:rPr>
          <w:b/>
          <w:bCs/>
          <w:rtl/>
        </w:rPr>
        <w:t xml:space="preserve">"הופיעו הצדדים וב"כ האשה וביה"ד שמע את דבריהם. ביה"ד נוכח כי אין הסכמה בין הצדדים לאשר את הסכם הגירושין שצורף לתיק. לפיכך על הצדדים לנהל מו"מ כדי להגיע להסכם מוסכם על שני הצדדים. בהעדר הסכמה, התיק ייסגר בעוד שלושה חודשים" </w:t>
      </w:r>
      <w:r>
        <w:rPr>
          <w:rtl/>
        </w:rPr>
        <w:t>(נ/1).</w:t>
      </w:r>
    </w:p>
    <w:p w:rsidR="004F54D7" w:rsidRDefault="004F54D7" w:rsidP="004F54D7">
      <w:pPr>
        <w:pStyle w:val="ad"/>
        <w:spacing w:line="360" w:lineRule="auto"/>
        <w:ind w:left="357"/>
        <w:jc w:val="both"/>
      </w:pPr>
    </w:p>
    <w:p w:rsidR="004F54D7" w:rsidRDefault="004F54D7" w:rsidP="004F54D7">
      <w:pPr>
        <w:pStyle w:val="ad"/>
        <w:numPr>
          <w:ilvl w:val="0"/>
          <w:numId w:val="1"/>
        </w:numPr>
        <w:spacing w:line="360" w:lineRule="auto"/>
        <w:ind w:left="357" w:hanging="357"/>
        <w:jc w:val="both"/>
      </w:pPr>
      <w:r>
        <w:rPr>
          <w:rtl/>
        </w:rPr>
        <w:t>ביום 23.11.17 הגיש האיש בקשה ליישוב סכסוך לבית משפט זה ולאחר שלא עלה בידי הצדדים להגיע להסכמות הוגשו ההליכים שלהכרעתם אדרש בפסק זה.</w:t>
      </w:r>
    </w:p>
    <w:p w:rsidR="004F54D7" w:rsidRDefault="004F54D7" w:rsidP="004F54D7">
      <w:pPr>
        <w:pStyle w:val="ad"/>
        <w:spacing w:line="360" w:lineRule="auto"/>
        <w:ind w:left="357"/>
        <w:jc w:val="both"/>
        <w:rPr>
          <w:rFonts w:ascii="David" w:hAnsi="David"/>
        </w:rPr>
      </w:pPr>
    </w:p>
    <w:p w:rsidR="004F54D7" w:rsidRDefault="004F54D7" w:rsidP="004F54D7">
      <w:pPr>
        <w:spacing w:after="120" w:line="360" w:lineRule="auto"/>
        <w:jc w:val="both"/>
        <w:rPr>
          <w:rFonts w:ascii="David" w:hAnsi="David"/>
          <w:b/>
          <w:bCs/>
          <w:u w:val="single"/>
          <w:rtl/>
        </w:rPr>
      </w:pPr>
      <w:r>
        <w:rPr>
          <w:rFonts w:ascii="David" w:hAnsi="David"/>
          <w:b/>
          <w:bCs/>
          <w:u w:val="single"/>
          <w:rtl/>
        </w:rPr>
        <w:t>ראיות הצדדים ומתווה ההכרעה</w:t>
      </w:r>
    </w:p>
    <w:p w:rsidR="004F54D7" w:rsidRDefault="004F54D7" w:rsidP="004F54D7">
      <w:pPr>
        <w:pStyle w:val="ad"/>
        <w:numPr>
          <w:ilvl w:val="0"/>
          <w:numId w:val="1"/>
        </w:numPr>
        <w:spacing w:after="120" w:line="360" w:lineRule="auto"/>
        <w:jc w:val="both"/>
        <w:rPr>
          <w:rFonts w:ascii="David" w:hAnsi="David"/>
          <w:rtl/>
        </w:rPr>
      </w:pPr>
      <w:r>
        <w:rPr>
          <w:rFonts w:ascii="David" w:hAnsi="David"/>
          <w:rtl/>
        </w:rPr>
        <w:t>במסגרת ההליכים התקיימו 9 דיוני הוכחות</w:t>
      </w:r>
      <w:r>
        <w:rPr>
          <w:rtl/>
        </w:rPr>
        <w:t xml:space="preserve">, לרבות דיוני ההוכחות, שבמסגרתם העידו הצדדים וכן צדדים שלישיים שזומנו על ידם. </w:t>
      </w:r>
      <w:r>
        <w:rPr>
          <w:rFonts w:ascii="David" w:hAnsi="David"/>
          <w:rtl/>
        </w:rPr>
        <w:t>מטעם האיש העיד הוא בלבד; מטעמה של האשה העידו האשה, שתי בנותיהם של הצדדים, אחותה וכן מכרים של הצדדים ומנהל סניף הבנק לשעבר בו עובדת האשה.</w:t>
      </w:r>
    </w:p>
    <w:p w:rsidR="004F54D7" w:rsidRDefault="004F54D7" w:rsidP="004F54D7">
      <w:pPr>
        <w:pStyle w:val="ad"/>
        <w:rPr>
          <w:rFonts w:ascii="David" w:hAnsi="David"/>
        </w:rPr>
      </w:pPr>
    </w:p>
    <w:p w:rsidR="004F54D7" w:rsidRDefault="004F54D7" w:rsidP="004F54D7">
      <w:pPr>
        <w:pStyle w:val="ad"/>
        <w:numPr>
          <w:ilvl w:val="0"/>
          <w:numId w:val="1"/>
        </w:numPr>
        <w:spacing w:after="120" w:line="360" w:lineRule="auto"/>
        <w:ind w:left="357" w:hanging="357"/>
        <w:jc w:val="both"/>
        <w:rPr>
          <w:rtl/>
        </w:rPr>
      </w:pPr>
      <w:r>
        <w:rPr>
          <w:rtl/>
        </w:rPr>
        <w:t>ניסיונות רבים נעשו על מנת להביא את הצדדים לגיבוש הסכמות, אשר ייתרו המשך ניהול ההליכים, לרבות ע"י המותב הקודם בתיק (כב' השופט אליאס); ברם משאלו לא צלחו, בהעדר הסכמת שני הצדדים, ניתן בזאת פסק דין זה.</w:t>
      </w:r>
    </w:p>
    <w:p w:rsidR="004F54D7" w:rsidRDefault="004F54D7" w:rsidP="004F54D7">
      <w:pPr>
        <w:pStyle w:val="ad"/>
      </w:pPr>
    </w:p>
    <w:p w:rsidR="004F54D7" w:rsidRDefault="004F54D7" w:rsidP="004F54D7">
      <w:pPr>
        <w:pStyle w:val="ad"/>
        <w:numPr>
          <w:ilvl w:val="0"/>
          <w:numId w:val="1"/>
        </w:numPr>
        <w:spacing w:after="120" w:line="360" w:lineRule="auto"/>
        <w:ind w:left="357" w:hanging="357"/>
        <w:jc w:val="both"/>
        <w:rPr>
          <w:rtl/>
        </w:rPr>
      </w:pPr>
      <w:r>
        <w:rPr>
          <w:rtl/>
        </w:rPr>
        <w:t xml:space="preserve">בהינתן מספר ההליכים העומדים להכרעה והזיקות הקיימות ביניהם, למצער בין חלקם, הם יוכרעו כדלקמן: לאחר הבאת טענות הצדדים בעיקרן בהליכים כמכלול; תוכרע, תחילה, תביעת </w:t>
      </w:r>
      <w:r>
        <w:rPr>
          <w:rtl/>
        </w:rPr>
        <w:lastRenderedPageBreak/>
        <w:t xml:space="preserve">לשון הרע; לאחריה ההליך בדבר מתן פסק דין הצהרתי ולבסוף התביעה לפירוק שיתוף ולחיוב בדמי שימוש ראויים. </w:t>
      </w:r>
    </w:p>
    <w:p w:rsidR="004F54D7" w:rsidRDefault="004F54D7" w:rsidP="004F54D7">
      <w:pPr>
        <w:spacing w:line="360" w:lineRule="auto"/>
        <w:jc w:val="both"/>
        <w:rPr>
          <w:b/>
          <w:bCs/>
          <w:u w:val="single"/>
          <w:rtl/>
        </w:rPr>
      </w:pPr>
      <w:r>
        <w:rPr>
          <w:b/>
          <w:bCs/>
          <w:u w:val="single"/>
          <w:rtl/>
        </w:rPr>
        <w:t>טענות הצדדים בעיקרן</w:t>
      </w:r>
    </w:p>
    <w:p w:rsidR="004F54D7" w:rsidRDefault="004F54D7" w:rsidP="004F54D7">
      <w:pPr>
        <w:spacing w:line="360" w:lineRule="auto"/>
        <w:jc w:val="both"/>
        <w:rPr>
          <w:b/>
          <w:bCs/>
          <w:u w:val="single"/>
        </w:rPr>
      </w:pPr>
      <w:r>
        <w:rPr>
          <w:b/>
          <w:bCs/>
          <w:u w:val="single"/>
          <w:rtl/>
        </w:rPr>
        <w:t>האשה</w:t>
      </w:r>
    </w:p>
    <w:p w:rsidR="004F54D7" w:rsidRDefault="004F54D7" w:rsidP="004F54D7">
      <w:pPr>
        <w:pStyle w:val="ad"/>
        <w:numPr>
          <w:ilvl w:val="0"/>
          <w:numId w:val="2"/>
        </w:numPr>
        <w:spacing w:line="360" w:lineRule="auto"/>
        <w:jc w:val="both"/>
        <w:rPr>
          <w:b/>
          <w:bCs/>
          <w:u w:val="single"/>
          <w:rtl/>
        </w:rPr>
      </w:pPr>
      <w:r>
        <w:rPr>
          <w:rtl/>
        </w:rPr>
        <w:t xml:space="preserve">משך חיי הנישואין של הצדדים, נקט האיש </w:t>
      </w:r>
      <w:r>
        <w:rPr>
          <w:i/>
          <w:iCs/>
          <w:rtl/>
        </w:rPr>
        <w:t>באלימות מילולית, חברתית ונפשית קשה כנגד האשה</w:t>
      </w:r>
      <w:r>
        <w:rPr>
          <w:rtl/>
        </w:rPr>
        <w:t xml:space="preserve">; כך היה אוסר עליה להיפגש עם חברות, ללכת לאירועים ולפגוש את ילדי הצדדים ונכדיהם יותר משעה קצובה בשבוע. בשל מעללי האיש, נאלצה האשה להימלט על חייה מדירת המגורים, התגוררה משך זמן רב אצל ילדי הצדדים ואח"כ שכרה דירה למגוריה. </w:t>
      </w:r>
    </w:p>
    <w:p w:rsidR="004F54D7" w:rsidRDefault="004F54D7" w:rsidP="004F54D7">
      <w:pPr>
        <w:pStyle w:val="ad"/>
        <w:rPr>
          <w:b/>
          <w:bCs/>
          <w:u w:val="single"/>
        </w:rPr>
      </w:pPr>
    </w:p>
    <w:p w:rsidR="004F54D7" w:rsidRDefault="004F54D7" w:rsidP="004F54D7">
      <w:pPr>
        <w:pStyle w:val="ad"/>
        <w:numPr>
          <w:ilvl w:val="0"/>
          <w:numId w:val="2"/>
        </w:numPr>
        <w:spacing w:line="360" w:lineRule="auto"/>
        <w:jc w:val="both"/>
        <w:rPr>
          <w:b/>
          <w:bCs/>
          <w:u w:val="single"/>
        </w:rPr>
      </w:pPr>
      <w:r>
        <w:rPr>
          <w:rtl/>
        </w:rPr>
        <w:t xml:space="preserve">אופיו הקשה של האיש בא לידי ביטוי אף באי יציבותו התעסקותית, כאשר החליף מקומות עבודה רבים ועבד במשרות מזדמנות, בשל נוהגו להסתכסך עם מעסיקיו והעובדים לצדו. כך, לאורך השנים, הייתה הכנסתה של האשה גבוהה משלו. </w:t>
      </w:r>
    </w:p>
    <w:p w:rsidR="004F54D7" w:rsidRDefault="004F54D7" w:rsidP="004F54D7">
      <w:pPr>
        <w:pStyle w:val="ad"/>
        <w:rPr>
          <w:b/>
          <w:bCs/>
          <w:u w:val="single"/>
        </w:rPr>
      </w:pPr>
    </w:p>
    <w:p w:rsidR="004F54D7" w:rsidRDefault="004F54D7" w:rsidP="004F54D7">
      <w:pPr>
        <w:pStyle w:val="ad"/>
        <w:numPr>
          <w:ilvl w:val="0"/>
          <w:numId w:val="2"/>
        </w:numPr>
        <w:spacing w:line="360" w:lineRule="auto"/>
        <w:jc w:val="both"/>
        <w:rPr>
          <w:u w:val="single"/>
          <w:rtl/>
        </w:rPr>
      </w:pPr>
      <w:r>
        <w:rPr>
          <w:rtl/>
        </w:rPr>
        <w:t xml:space="preserve">האיש </w:t>
      </w:r>
      <w:r>
        <w:rPr>
          <w:i/>
          <w:iCs/>
          <w:rtl/>
        </w:rPr>
        <w:t>מהמר כפייתי</w:t>
      </w:r>
      <w:r>
        <w:rPr>
          <w:rtl/>
        </w:rPr>
        <w:t xml:space="preserve">, אשר בזבז כספים משותפים רבים בגין ההימורים. מידי חודש הפסיד האיש כ-10,000 ₪ בממוצע במשחקי הימורים שונים וכן בהימורים בבתי קזינו, בבתים פרטיים וכו'. כל כספי הפנסיה שצבר האיש מעבודתיו השונות בוזבזו לטובת ההימורים. </w:t>
      </w:r>
    </w:p>
    <w:p w:rsidR="004F54D7" w:rsidRDefault="004F54D7" w:rsidP="004F54D7">
      <w:pPr>
        <w:pStyle w:val="ad"/>
        <w:rPr>
          <w:u w:val="single"/>
        </w:rPr>
      </w:pPr>
    </w:p>
    <w:p w:rsidR="004F54D7" w:rsidRDefault="004F54D7" w:rsidP="004F54D7">
      <w:pPr>
        <w:pStyle w:val="ad"/>
        <w:numPr>
          <w:ilvl w:val="0"/>
          <w:numId w:val="2"/>
        </w:numPr>
        <w:spacing w:line="360" w:lineRule="auto"/>
        <w:jc w:val="both"/>
        <w:rPr>
          <w:u w:val="single"/>
          <w:rtl/>
        </w:rPr>
      </w:pPr>
      <w:r>
        <w:rPr>
          <w:rtl/>
        </w:rPr>
        <w:t xml:space="preserve">מחמת נטייתו הכפייתית של האיש, נאלצה האשה מידי פעם ללוות כספים לצורך כיסוי חובותיו של האיש וכן משכה חסכונות וקופות גמל בסך של 296,000 ₪. האיש לא נעתר לתחנוני האשה ובני משפחה שיפסיק להמר והמשיך לעשות כן. סך כל הכספים שהאיש משך במזומן לצורך הימורים, משנת 2009 ועד לגריעתו מהחשבון המשותף, הינו 758,050 ₪. </w:t>
      </w:r>
    </w:p>
    <w:p w:rsidR="004F54D7" w:rsidRDefault="004F54D7" w:rsidP="004F54D7">
      <w:pPr>
        <w:pStyle w:val="ad"/>
      </w:pPr>
    </w:p>
    <w:p w:rsidR="004F54D7" w:rsidRDefault="004F54D7" w:rsidP="004F54D7">
      <w:pPr>
        <w:pStyle w:val="ad"/>
        <w:numPr>
          <w:ilvl w:val="0"/>
          <w:numId w:val="2"/>
        </w:numPr>
        <w:spacing w:line="360" w:lineRule="auto"/>
        <w:jc w:val="both"/>
        <w:rPr>
          <w:u w:val="single"/>
          <w:rtl/>
        </w:rPr>
      </w:pPr>
      <w:r>
        <w:rPr>
          <w:rtl/>
        </w:rPr>
        <w:t xml:space="preserve">הוכר, כי הימורים הינה הוצאה שאינה לטובת התא המשפחתי, המאיינת איזון משאבים שיווני. גם במקרה דנן, עת הפנה האיש את הכנסתו לטובת הימוריו וגרם לאשה להעביר לו כספים רבים בגין החובות שיצר. האשה ידעה על ההימורים, סבלה מאוד, אך הצטערה לפרק את התא המשפחתי. </w:t>
      </w:r>
    </w:p>
    <w:p w:rsidR="004F54D7" w:rsidRDefault="004F54D7" w:rsidP="004F54D7">
      <w:pPr>
        <w:pStyle w:val="ad"/>
      </w:pPr>
    </w:p>
    <w:p w:rsidR="004F54D7" w:rsidRDefault="004F54D7" w:rsidP="004F54D7">
      <w:pPr>
        <w:pStyle w:val="ad"/>
        <w:numPr>
          <w:ilvl w:val="0"/>
          <w:numId w:val="2"/>
        </w:numPr>
        <w:spacing w:line="360" w:lineRule="auto"/>
        <w:jc w:val="both"/>
      </w:pPr>
      <w:r>
        <w:rPr>
          <w:rtl/>
        </w:rPr>
        <w:t xml:space="preserve">התדרדרות קשה חלה ביחסו של האיש כלפיה בחודש יולי 2017, אז נקט האיש כלפיה באלימות מילולית קשה, קילל וגידף אותה, אף בנוכחות בני משפחה ואנשים זרים והפך את חייה לבלתי נסבלים. האיש העמיד לאשה תנאי לסיום חיי הנישואין, שתוותר על חלקה בדירת המגורים, ללא כל תמורה. </w:t>
      </w:r>
    </w:p>
    <w:p w:rsidR="00C76957" w:rsidRDefault="00C76957" w:rsidP="00C76957">
      <w:pPr>
        <w:pStyle w:val="ad"/>
        <w:rPr>
          <w:rtl/>
        </w:rPr>
      </w:pPr>
    </w:p>
    <w:p w:rsidR="00C76957" w:rsidRDefault="00C76957" w:rsidP="00C76957">
      <w:pPr>
        <w:pStyle w:val="ad"/>
        <w:spacing w:line="360" w:lineRule="auto"/>
        <w:ind w:left="360"/>
        <w:jc w:val="both"/>
        <w:rPr>
          <w:rtl/>
        </w:rPr>
      </w:pPr>
    </w:p>
    <w:p w:rsidR="004F54D7" w:rsidRDefault="004F54D7" w:rsidP="004F54D7">
      <w:pPr>
        <w:pStyle w:val="ad"/>
        <w:numPr>
          <w:ilvl w:val="0"/>
          <w:numId w:val="2"/>
        </w:numPr>
        <w:spacing w:line="360" w:lineRule="auto"/>
        <w:jc w:val="both"/>
        <w:rPr>
          <w:rtl/>
        </w:rPr>
      </w:pPr>
      <w:r>
        <w:rPr>
          <w:rtl/>
        </w:rPr>
        <w:lastRenderedPageBreak/>
        <w:t xml:space="preserve">לאחר שאיים כי ייפגע בחייה, הזעיק האיש את שתי בנותיהם של הצדדים וגרם לאשה שהייתה נתונה במצב נפשי קשה, לחתום על הסכם מחפיר שעניינו ויתור על חלקה בדירת המגורים בסך של למעלה ממיליון ₪, נשיאת האשה בתשלום המשכנתא במלואה וכן תשלום הלוואות של הצדדים וכן תשלום הוצאות אחזקת הבית עד למכירת דירת המגורים בידי האיש. רק זכויות האשה מעבודתה נשארו לה. לאור הוראותיו המקפחות של הסכם הגירושין, סרב בית הדין לאשרו. </w:t>
      </w:r>
    </w:p>
    <w:p w:rsidR="004F54D7" w:rsidRDefault="004F54D7" w:rsidP="004F54D7">
      <w:pPr>
        <w:pStyle w:val="ad"/>
      </w:pPr>
    </w:p>
    <w:p w:rsidR="004F54D7" w:rsidRDefault="004F54D7" w:rsidP="004F54D7">
      <w:pPr>
        <w:pStyle w:val="ad"/>
        <w:numPr>
          <w:ilvl w:val="0"/>
          <w:numId w:val="2"/>
        </w:numPr>
        <w:spacing w:line="360" w:lineRule="auto"/>
        <w:jc w:val="both"/>
        <w:rPr>
          <w:rtl/>
        </w:rPr>
      </w:pPr>
      <w:r>
        <w:rPr>
          <w:rtl/>
        </w:rPr>
        <w:t xml:space="preserve">ההסכם נחתם בלא רצון חופשי, בהעדר הבנה מהותית של הוראותיו, או ידיעה אודות הזכויות שמגיעות לה ועל רקע הלחצים, האיומים והגידופים הקשים שהפעיל עליה האיש. </w:t>
      </w:r>
    </w:p>
    <w:p w:rsidR="004F54D7" w:rsidRDefault="004F54D7" w:rsidP="004F54D7">
      <w:pPr>
        <w:pStyle w:val="ad"/>
      </w:pPr>
    </w:p>
    <w:p w:rsidR="004F54D7" w:rsidRDefault="004F54D7" w:rsidP="004F54D7">
      <w:pPr>
        <w:pStyle w:val="ad"/>
        <w:numPr>
          <w:ilvl w:val="0"/>
          <w:numId w:val="2"/>
        </w:numPr>
        <w:spacing w:line="360" w:lineRule="auto"/>
        <w:jc w:val="both"/>
        <w:rPr>
          <w:rtl/>
        </w:rPr>
      </w:pPr>
      <w:r>
        <w:rPr>
          <w:rtl/>
        </w:rPr>
        <w:t xml:space="preserve">האשה לא פעלה ולא יישמה את הוראות הסכם הגירושין; המשכנתא לא נפרעה, הוצאות אחזקת המדור המשיכו להיות משולמים על ידה כי לבעל לא היה כסף, חשבונות הבנק הופרדו לאחר שהאשה גורשה מדירת המגורים בלי מטלטלין. </w:t>
      </w:r>
    </w:p>
    <w:p w:rsidR="004F54D7" w:rsidRDefault="004F54D7" w:rsidP="004F54D7">
      <w:pPr>
        <w:pStyle w:val="ad"/>
      </w:pPr>
    </w:p>
    <w:p w:rsidR="004F54D7" w:rsidRDefault="004F54D7" w:rsidP="00DA5CAD">
      <w:pPr>
        <w:pStyle w:val="ad"/>
        <w:numPr>
          <w:ilvl w:val="0"/>
          <w:numId w:val="2"/>
        </w:numPr>
        <w:spacing w:after="120" w:line="360" w:lineRule="auto"/>
        <w:jc w:val="both"/>
        <w:rPr>
          <w:rtl/>
        </w:rPr>
      </w:pPr>
      <w:r>
        <w:rPr>
          <w:rtl/>
        </w:rPr>
        <w:t xml:space="preserve">האיש שסבל </w:t>
      </w:r>
      <w:r>
        <w:rPr>
          <w:i/>
          <w:iCs/>
          <w:rtl/>
        </w:rPr>
        <w:t>מהתקפי קנאה,</w:t>
      </w:r>
      <w:r>
        <w:rPr>
          <w:rtl/>
        </w:rPr>
        <w:t xml:space="preserve"> נהג לגדף ולקלל את האשה, להפנות אליה אישומים חסרי שחר בקללות קשות, תוך שהוא מענה אותה ומגביל את חירותה.  כך טען שהיא מקיימת יחסים עם מנהל ה</w:t>
      </w:r>
      <w:r w:rsidR="00DA5CAD">
        <w:rPr>
          <w:rFonts w:hint="cs"/>
          <w:rtl/>
        </w:rPr>
        <w:t>סניף</w:t>
      </w:r>
      <w:r>
        <w:rPr>
          <w:rtl/>
        </w:rPr>
        <w:t xml:space="preserve"> בו היא עובדת, בשל כך זומן מנהל ה</w:t>
      </w:r>
      <w:r w:rsidR="00DA5CAD">
        <w:rPr>
          <w:rFonts w:hint="cs"/>
          <w:rtl/>
        </w:rPr>
        <w:t>סניף</w:t>
      </w:r>
      <w:r>
        <w:rPr>
          <w:rtl/>
        </w:rPr>
        <w:t xml:space="preserve"> אליהם הביתה, על מנת להרגיע את האיש כי לא היו דברים מעולם. </w:t>
      </w:r>
    </w:p>
    <w:p w:rsidR="004F54D7" w:rsidRDefault="004F54D7" w:rsidP="004F54D7">
      <w:pPr>
        <w:pStyle w:val="ad"/>
        <w:spacing w:after="120" w:line="360" w:lineRule="auto"/>
        <w:ind w:left="357"/>
        <w:jc w:val="both"/>
      </w:pPr>
    </w:p>
    <w:p w:rsidR="004F54D7" w:rsidRDefault="004F54D7" w:rsidP="00DA5CAD">
      <w:pPr>
        <w:pStyle w:val="ad"/>
        <w:numPr>
          <w:ilvl w:val="0"/>
          <w:numId w:val="2"/>
        </w:numPr>
        <w:spacing w:after="120" w:line="360" w:lineRule="auto"/>
        <w:jc w:val="both"/>
      </w:pPr>
      <w:r>
        <w:rPr>
          <w:rtl/>
        </w:rPr>
        <w:t>האיש שלא התרצה מדברי מנהל ה</w:t>
      </w:r>
      <w:r w:rsidR="00DA5CAD">
        <w:rPr>
          <w:rFonts w:hint="cs"/>
          <w:rtl/>
        </w:rPr>
        <w:t>סניף</w:t>
      </w:r>
      <w:r>
        <w:rPr>
          <w:rtl/>
        </w:rPr>
        <w:t xml:space="preserve">, דרש מהאשה להתלוות אליו לבית העלמין כדי שתישבע על קברי הוריה שלא זנתה. </w:t>
      </w:r>
      <w:r>
        <w:rPr>
          <w:i/>
          <w:iCs/>
          <w:rtl/>
        </w:rPr>
        <w:t>האיש האשים את האשה כי מקיימת יחסים עם אנשים אחרים באירוע משפחתי בנוכחות אנשים זרים וגרם לה למבוכה גדולה</w:t>
      </w:r>
      <w:r>
        <w:rPr>
          <w:rtl/>
        </w:rPr>
        <w:t xml:space="preserve">. אף האשים אותה כי בנם של הצדדים נולד מרומן שקיימה עם גבר אחר. </w:t>
      </w:r>
    </w:p>
    <w:p w:rsidR="004F54D7" w:rsidRDefault="004F54D7" w:rsidP="004F54D7">
      <w:pPr>
        <w:pStyle w:val="ad"/>
      </w:pPr>
    </w:p>
    <w:p w:rsidR="004F54D7" w:rsidRDefault="004F54D7" w:rsidP="00AD55FD">
      <w:pPr>
        <w:pStyle w:val="ad"/>
        <w:numPr>
          <w:ilvl w:val="0"/>
          <w:numId w:val="2"/>
        </w:numPr>
        <w:spacing w:after="120" w:line="360" w:lineRule="auto"/>
        <w:jc w:val="both"/>
        <w:rPr>
          <w:rtl/>
        </w:rPr>
      </w:pPr>
      <w:r>
        <w:rPr>
          <w:rtl/>
        </w:rPr>
        <w:t xml:space="preserve">לאשה נודע, כי </w:t>
      </w:r>
      <w:r>
        <w:rPr>
          <w:i/>
          <w:iCs/>
          <w:rtl/>
        </w:rPr>
        <w:t>האיש מדבר עליה סרה וטוען</w:t>
      </w:r>
      <w:r>
        <w:rPr>
          <w:rtl/>
        </w:rPr>
        <w:t>, כי זנתה עם מנהל ה</w:t>
      </w:r>
      <w:r w:rsidR="00AD55FD">
        <w:rPr>
          <w:rFonts w:hint="cs"/>
          <w:rtl/>
        </w:rPr>
        <w:t>סניף</w:t>
      </w:r>
      <w:r>
        <w:rPr>
          <w:rtl/>
        </w:rPr>
        <w:t xml:space="preserve"> ועם אחיינו של האיש, עם מכריהם של הצדדים, עם לקוחות בבנק בו היא עובדת, בני משפחה וילדי הצדדים. ידיעת הדברים הובאה אל האשה ע"י לקוח של הבנק אשר פנה ושאל אם יש אמת בשמועות. האיש הגיע אל רשומות לקוחות הבנק מהטלפון הנייד של האשה ובכך פגע בפרטיותה. </w:t>
      </w:r>
    </w:p>
    <w:p w:rsidR="004F54D7" w:rsidRDefault="004F54D7" w:rsidP="004F54D7">
      <w:pPr>
        <w:pStyle w:val="ad"/>
      </w:pPr>
    </w:p>
    <w:p w:rsidR="004F54D7" w:rsidRDefault="004F54D7" w:rsidP="00B40861">
      <w:pPr>
        <w:pStyle w:val="ad"/>
        <w:numPr>
          <w:ilvl w:val="0"/>
          <w:numId w:val="2"/>
        </w:numPr>
        <w:spacing w:after="120" w:line="360" w:lineRule="auto"/>
        <w:jc w:val="both"/>
        <w:rPr>
          <w:rtl/>
        </w:rPr>
      </w:pPr>
      <w:r>
        <w:rPr>
          <w:rtl/>
        </w:rPr>
        <w:t xml:space="preserve">האיש אף הגיש תלונה להנהלת </w:t>
      </w:r>
      <w:r w:rsidR="001D057B">
        <w:rPr>
          <w:rFonts w:hint="cs"/>
          <w:rtl/>
        </w:rPr>
        <w:t>ה</w:t>
      </w:r>
      <w:r>
        <w:rPr>
          <w:rtl/>
        </w:rPr>
        <w:t>בנק בטענה, כי האשה מנהלת רומן עם מנהל ה</w:t>
      </w:r>
      <w:r w:rsidR="00B40861">
        <w:rPr>
          <w:rFonts w:hint="cs"/>
          <w:rtl/>
        </w:rPr>
        <w:t>סניף</w:t>
      </w:r>
      <w:r>
        <w:rPr>
          <w:rtl/>
        </w:rPr>
        <w:t xml:space="preserve">. בעקבות זאת זומנה האשה פעמיים לשיחה והעניין נבדק ונמצא כי אין בסיס להאשמות האיש. אחיו של האיש, הפנה את בני הזוג להתייעצות עם רב מקובל בצפת וזה כעס על האיש בגין האשמותיו חסרות הבסיס. </w:t>
      </w:r>
    </w:p>
    <w:p w:rsidR="004F54D7" w:rsidRDefault="004F54D7" w:rsidP="00156705">
      <w:pPr>
        <w:pStyle w:val="ad"/>
        <w:numPr>
          <w:ilvl w:val="0"/>
          <w:numId w:val="2"/>
        </w:numPr>
        <w:spacing w:after="120" w:line="360" w:lineRule="auto"/>
        <w:jc w:val="both"/>
        <w:rPr>
          <w:rtl/>
        </w:rPr>
      </w:pPr>
      <w:r>
        <w:rPr>
          <w:rtl/>
        </w:rPr>
        <w:lastRenderedPageBreak/>
        <w:t>פעמים רבות בסיטואציות שונות פנה האיש וסיפר באוזני אחרים, עת פגש אותם ברחוב או טלפן אליהם, כי האשה מקיימת יחסים עם מנהל ה</w:t>
      </w:r>
      <w:r w:rsidR="00156705">
        <w:rPr>
          <w:rFonts w:hint="cs"/>
          <w:rtl/>
        </w:rPr>
        <w:t>סניף</w:t>
      </w:r>
      <w:r>
        <w:rPr>
          <w:rtl/>
        </w:rPr>
        <w:t xml:space="preserve"> או אנשים אחרים. ידיעות אלו הובאו לאוזני האשה מפי אותם אנשים; כך הכפיש האיש את דמותה של האשה, כאשר סיפר בין היתר לרופא השיניים המשפחתי ולחברות של האשה, עובדות לשעבר בבנק, דברי כזב עליה. אף בשבעה של אמו של האיש, סיפר הוא באוזני כל כי האשה זנתה עם אחר. </w:t>
      </w:r>
    </w:p>
    <w:p w:rsidR="004F54D7" w:rsidRDefault="004F54D7" w:rsidP="004F54D7">
      <w:pPr>
        <w:pStyle w:val="ad"/>
        <w:numPr>
          <w:ilvl w:val="0"/>
          <w:numId w:val="2"/>
        </w:numPr>
        <w:spacing w:after="120" w:line="360" w:lineRule="auto"/>
        <w:jc w:val="both"/>
        <w:rPr>
          <w:rtl/>
        </w:rPr>
      </w:pPr>
      <w:r>
        <w:rPr>
          <w:rtl/>
        </w:rPr>
        <w:t xml:space="preserve">האיש ביזה, השפיל ופגע בכבודה של האשה בעיני הבריות ואף בעיני עצמה ופרסם ברבים את הלשון הרע אודותיה בגורמו לה לנזק רב. במעשיו פגע האיש פגיעה בכבודה של האשה, כרעייה, כאם, כעובדת, כאחות וכחברה. האשה נאלצה להגיש תלונות במשטרה כנגד האיש בגין הוצאת דיבה וכן בשל פעולות המעקב של האיש אחריה. </w:t>
      </w:r>
    </w:p>
    <w:p w:rsidR="004F54D7" w:rsidRDefault="004F54D7" w:rsidP="004F54D7">
      <w:pPr>
        <w:pStyle w:val="ad"/>
      </w:pPr>
    </w:p>
    <w:p w:rsidR="004F54D7" w:rsidRDefault="004F54D7" w:rsidP="004F54D7">
      <w:pPr>
        <w:pStyle w:val="ad"/>
        <w:numPr>
          <w:ilvl w:val="0"/>
          <w:numId w:val="2"/>
        </w:numPr>
        <w:spacing w:after="120" w:line="360" w:lineRule="auto"/>
        <w:jc w:val="both"/>
        <w:rPr>
          <w:rtl/>
        </w:rPr>
      </w:pPr>
      <w:r>
        <w:rPr>
          <w:rtl/>
        </w:rPr>
        <w:t xml:space="preserve">יציאתה של האשה מהדירה נבעה ממסכת הייסורים שהעביר אותה האיש, אשר נקט כלפיה באלימות קשה- מילולית, חברתית ורוחנית והיה מתעמר בה בכל שעות היממה. </w:t>
      </w:r>
    </w:p>
    <w:p w:rsidR="004F54D7" w:rsidRDefault="004F54D7" w:rsidP="004F54D7">
      <w:pPr>
        <w:pStyle w:val="ad"/>
      </w:pPr>
    </w:p>
    <w:p w:rsidR="004F54D7" w:rsidRDefault="004F54D7" w:rsidP="004F54D7">
      <w:pPr>
        <w:pStyle w:val="ad"/>
        <w:numPr>
          <w:ilvl w:val="0"/>
          <w:numId w:val="2"/>
        </w:numPr>
        <w:spacing w:after="120" w:line="360" w:lineRule="auto"/>
        <w:jc w:val="both"/>
        <w:rPr>
          <w:b/>
          <w:bCs/>
          <w:u w:val="single"/>
          <w:rtl/>
        </w:rPr>
      </w:pPr>
      <w:r>
        <w:rPr>
          <w:rtl/>
        </w:rPr>
        <w:t xml:space="preserve">כיום שוכרת דירה האשה למגוריה בסך של 4,000 ₪ לאחר שנאלצה לרכוש מוצרי חשמל וריהוט נדרש וגם נושאת בתשלום שכ"ד של בנם של הצדדים בסך של 2,950 ₪ בחודש. האיש מנע את כניסתה של האשה לדירת המגורים, מנע ממנה הוצאת חפצי האישיים וכן מטלטלין אשר היו דרושים לה ואח"כ החליף את מפתח הכניסה לדירה. עם הפרדת המגורים, הבינה האשה כי הסכם עליו חתמה הינו מחפיר ואין בכוונתה ליישמו. </w:t>
      </w:r>
    </w:p>
    <w:p w:rsidR="004F54D7" w:rsidRDefault="004F54D7" w:rsidP="004F54D7">
      <w:pPr>
        <w:pStyle w:val="ad"/>
        <w:rPr>
          <w:b/>
          <w:bCs/>
          <w:u w:val="single"/>
        </w:rPr>
      </w:pPr>
    </w:p>
    <w:p w:rsidR="004F54D7" w:rsidRDefault="004F54D7" w:rsidP="004F54D7">
      <w:pPr>
        <w:pStyle w:val="ad"/>
        <w:numPr>
          <w:ilvl w:val="0"/>
          <w:numId w:val="2"/>
        </w:numPr>
        <w:spacing w:after="120" w:line="360" w:lineRule="auto"/>
        <w:jc w:val="both"/>
        <w:rPr>
          <w:rtl/>
        </w:rPr>
      </w:pPr>
      <w:r>
        <w:rPr>
          <w:rtl/>
        </w:rPr>
        <w:t xml:space="preserve">על הדירה מוטלת משכנתא שיתרתה 100,000 ₪ וכן הלוואת דיור בסך של 170,000 ₪, עם מכירת הדירה, לאחר כיסוי ההלוואות, יוותר בידי כל אחד מהצדדים סך אשר יאפשר להם לרכוש דירת מגורים. חלוקת הדירה אינה אפשרית בעין. </w:t>
      </w:r>
    </w:p>
    <w:p w:rsidR="004F54D7" w:rsidRDefault="004F54D7" w:rsidP="004F54D7">
      <w:pPr>
        <w:pStyle w:val="ad"/>
        <w:rPr>
          <w:b/>
          <w:bCs/>
          <w:u w:val="single"/>
        </w:rPr>
      </w:pPr>
    </w:p>
    <w:p w:rsidR="004F54D7" w:rsidRDefault="004F54D7" w:rsidP="004F54D7">
      <w:pPr>
        <w:pStyle w:val="ad"/>
        <w:numPr>
          <w:ilvl w:val="0"/>
          <w:numId w:val="2"/>
        </w:numPr>
        <w:spacing w:after="120" w:line="360" w:lineRule="auto"/>
        <w:jc w:val="both"/>
        <w:rPr>
          <w:b/>
          <w:bCs/>
          <w:u w:val="single"/>
          <w:rtl/>
        </w:rPr>
      </w:pPr>
      <w:r>
        <w:rPr>
          <w:rtl/>
        </w:rPr>
        <w:t>זכויות האשה ממקום עבודתה ברורות וקיימות, אך אינן עולות לסכומים המופרכים המתוארים בכתב התביעה של האיש. גם לא נותרו לה קופות נוספות כי הכל נפרע לכיסוי חובות ההימורים של האיש. האשה לא ערכה שום שינוי בזכויותיה הכלכליות וגם לא נערך שינוי ברישום הזכויות הנוגע לדירת המגורים. האיש מנגד משך קופת גמל השייכת לו בסך של 100,000 ₪ בבוחרו שלא לעבוד.</w:t>
      </w:r>
    </w:p>
    <w:p w:rsidR="004F54D7" w:rsidRDefault="004F54D7" w:rsidP="004F54D7">
      <w:pPr>
        <w:pStyle w:val="ad"/>
        <w:rPr>
          <w:b/>
          <w:bCs/>
          <w:u w:val="single"/>
        </w:rPr>
      </w:pPr>
    </w:p>
    <w:p w:rsidR="004F54D7" w:rsidRDefault="004F54D7" w:rsidP="004F54D7">
      <w:pPr>
        <w:pStyle w:val="ad"/>
        <w:numPr>
          <w:ilvl w:val="0"/>
          <w:numId w:val="2"/>
        </w:numPr>
        <w:spacing w:after="120" w:line="360" w:lineRule="auto"/>
        <w:jc w:val="both"/>
        <w:rPr>
          <w:rtl/>
        </w:rPr>
      </w:pPr>
      <w:r>
        <w:rPr>
          <w:rtl/>
        </w:rPr>
        <w:t xml:space="preserve">בהתאם לחוק יחסי ממון, הצדדים נדרשו לאשר את הסכם הגירושין עליו חתמו, הואיל וההסכם לא אושר ולא בכדי, לאור </w:t>
      </w:r>
      <w:r>
        <w:rPr>
          <w:b/>
          <w:bCs/>
          <w:rtl/>
        </w:rPr>
        <w:t>סירובו של בית הדין לאשרו,</w:t>
      </w:r>
      <w:r>
        <w:rPr>
          <w:rtl/>
        </w:rPr>
        <w:t xml:space="preserve"> הרי שאין לו תוקף משפטי. יש להורות על דחיית תביעת האיש למתן פסק דין הצהרתי הנותן תוקף להסכם הגירושין, תוך חיוב הבעך בתשלום הוצאות.  </w:t>
      </w:r>
    </w:p>
    <w:p w:rsidR="004F54D7" w:rsidRDefault="004F54D7" w:rsidP="004F54D7">
      <w:pPr>
        <w:pStyle w:val="ad"/>
      </w:pPr>
    </w:p>
    <w:p w:rsidR="004F54D7" w:rsidRDefault="004F54D7" w:rsidP="004F54D7">
      <w:pPr>
        <w:pStyle w:val="ad"/>
        <w:numPr>
          <w:ilvl w:val="0"/>
          <w:numId w:val="2"/>
        </w:numPr>
        <w:spacing w:after="120" w:line="360" w:lineRule="auto"/>
        <w:jc w:val="both"/>
        <w:rPr>
          <w:rtl/>
        </w:rPr>
      </w:pPr>
      <w:r>
        <w:rPr>
          <w:rtl/>
        </w:rPr>
        <w:t xml:space="preserve">בהתאם לזכותה הקנויה של האשה, יש להורות על פירוק שיתוף בדירת המגורים הרשומה על שם שני הצדדים בחלקים שווים, בדרך של מכירתה בשוק החופשי וחלוקת התמורה בהתאם. לצורך מכירתה יש להורות על מינוי כונסי נכסים לגבי הדירה; יש לנכות מחלקו של האיש את התשלומים ששילמה עבור המשכנתא והלוואת הדיור החל ממועד הפרדת המגורים. </w:t>
      </w:r>
    </w:p>
    <w:p w:rsidR="004F54D7" w:rsidRDefault="004F54D7" w:rsidP="004F54D7">
      <w:pPr>
        <w:pStyle w:val="ad"/>
      </w:pPr>
    </w:p>
    <w:p w:rsidR="004F54D7" w:rsidRDefault="004F54D7" w:rsidP="004F54D7">
      <w:pPr>
        <w:pStyle w:val="ad"/>
        <w:numPr>
          <w:ilvl w:val="0"/>
          <w:numId w:val="2"/>
        </w:numPr>
        <w:spacing w:after="120" w:line="360" w:lineRule="auto"/>
        <w:jc w:val="both"/>
        <w:rPr>
          <w:rtl/>
        </w:rPr>
      </w:pPr>
      <w:r>
        <w:rPr>
          <w:rtl/>
        </w:rPr>
        <w:t xml:space="preserve">בגין מניעת השימוש בנכס השייך לה, יש להורות על חיוב האיש בתשלום סך של 3,000 ₪ לחודש, מחצית מדמי השכירות המוערכים בסך של 6,000 ₪ לחודש, החל מחודש יולי 2017 ועד לפינוי דירת המגורים בידי האיש. </w:t>
      </w:r>
    </w:p>
    <w:p w:rsidR="004F54D7" w:rsidRDefault="004F54D7" w:rsidP="004F54D7">
      <w:pPr>
        <w:pStyle w:val="ad"/>
      </w:pPr>
    </w:p>
    <w:p w:rsidR="004F54D7" w:rsidRDefault="004F54D7" w:rsidP="004F54D7">
      <w:pPr>
        <w:pStyle w:val="ad"/>
        <w:numPr>
          <w:ilvl w:val="0"/>
          <w:numId w:val="2"/>
        </w:numPr>
        <w:spacing w:after="120" w:line="360" w:lineRule="auto"/>
        <w:jc w:val="both"/>
        <w:rPr>
          <w:rtl/>
        </w:rPr>
      </w:pPr>
      <w:r>
        <w:rPr>
          <w:rtl/>
        </w:rPr>
        <w:t xml:space="preserve">בשל מעללי האיש ובהתאם להוראות החוק איסור לשון הרע ולאור הפגיעה בפרטיותה של האשה לפי החוק להגנת הפרטיות, יש להורות על חיובו של האיש בתשלום סך של 350,000 ₪ לאשה. כמו כן, יש לאסור עליו מלפרסם ברבים פרסומים המהווים לשון הרע כנגד האשה או פרסומים הפוגעים בפרטיותה.  </w:t>
      </w:r>
    </w:p>
    <w:p w:rsidR="004F54D7" w:rsidRDefault="004F54D7" w:rsidP="004F54D7">
      <w:pPr>
        <w:pStyle w:val="ad"/>
      </w:pPr>
    </w:p>
    <w:p w:rsidR="004F54D7" w:rsidRDefault="004F54D7" w:rsidP="004F54D7">
      <w:pPr>
        <w:pStyle w:val="ad"/>
        <w:numPr>
          <w:ilvl w:val="0"/>
          <w:numId w:val="2"/>
        </w:numPr>
        <w:spacing w:after="120" w:line="360" w:lineRule="auto"/>
        <w:jc w:val="both"/>
        <w:rPr>
          <w:rtl/>
        </w:rPr>
      </w:pPr>
      <w:r>
        <w:rPr>
          <w:rtl/>
        </w:rPr>
        <w:t xml:space="preserve">בתצהירה הוסיפה, כי הוחתמה על הסכם גירושין מקפח, המוציא אותה מחיי הנישואין, ללא קורת גג, שעה שאת דירת המגורים הצליחו לרכוש באמצעות סך של 350,000 ₪ שניתן לה מאביה ובעוד שאת המשכנתא שילמה היא ועודנה משלמת, לרבות הלוואת דיור בסך של 170,000 ₪. בשנים האחרונות קודם הפירוד ולצד התנהגותו האלימה כלפיה, חזר האיש שוב ושוב כי אם היא רוצה להתגרש, עליה להשאיר לו את דירת המגורים וללכת. כניסתה לדירה נחסמה ע"י האיש אשר קבע כי תיכנס לדירה רק באישורו ובנוכחותו. </w:t>
      </w:r>
    </w:p>
    <w:p w:rsidR="004F54D7" w:rsidRDefault="004F54D7" w:rsidP="004F54D7">
      <w:pPr>
        <w:pStyle w:val="ad"/>
      </w:pPr>
    </w:p>
    <w:p w:rsidR="004F54D7" w:rsidRDefault="004F54D7" w:rsidP="00F74B15">
      <w:pPr>
        <w:pStyle w:val="ad"/>
        <w:numPr>
          <w:ilvl w:val="0"/>
          <w:numId w:val="2"/>
        </w:numPr>
        <w:spacing w:after="120" w:line="360" w:lineRule="auto"/>
        <w:jc w:val="both"/>
        <w:rPr>
          <w:rtl/>
        </w:rPr>
      </w:pPr>
      <w:r>
        <w:rPr>
          <w:rtl/>
        </w:rPr>
        <w:t>האיש ואחיו מכרו את דירת המגורים שירש מאמו בסך של 1,500,000 ₪, כאשר חלקו של האיש בתמורה היה 270,000 ₪. זאת לאחר שבני הזוג רכשו את חלקו של אחד האחים בסך של</w:t>
      </w:r>
      <w:r w:rsidR="00F74B15">
        <w:rPr>
          <w:rtl/>
        </w:rPr>
        <w:br/>
      </w:r>
      <w:r>
        <w:rPr>
          <w:rtl/>
        </w:rPr>
        <w:t xml:space="preserve">100,000 ₪, לשם כך פרעה המבקשת קופת גמל שלה וכן נטלה הלוואה מהבנק להשלמת הסכום. </w:t>
      </w:r>
    </w:p>
    <w:p w:rsidR="004F54D7" w:rsidRDefault="004F54D7" w:rsidP="004F54D7">
      <w:pPr>
        <w:pStyle w:val="ad"/>
      </w:pPr>
    </w:p>
    <w:p w:rsidR="004F54D7" w:rsidRDefault="004F54D7" w:rsidP="004F54D7">
      <w:pPr>
        <w:pStyle w:val="ad"/>
        <w:numPr>
          <w:ilvl w:val="0"/>
          <w:numId w:val="2"/>
        </w:numPr>
        <w:spacing w:after="120" w:line="360" w:lineRule="auto"/>
        <w:jc w:val="both"/>
        <w:rPr>
          <w:rtl/>
        </w:rPr>
      </w:pPr>
      <w:r>
        <w:rPr>
          <w:rtl/>
        </w:rPr>
        <w:t xml:space="preserve">יש לדחות את התביעה לאישור ההסכם, אשר נחתם ללא רצון חופשי ובהעדר הסכמה, תוך ניצול ציני של המצוקה בה הייתה שרויה ואשר נגרמה ע"י האיש ומבלי שהבינה את משמעות ההסכם המקפח. משכך יש לראות בהסכם בטל ומבוטל. </w:t>
      </w:r>
    </w:p>
    <w:p w:rsidR="004F54D7" w:rsidRDefault="004F54D7" w:rsidP="004F54D7">
      <w:pPr>
        <w:pStyle w:val="ad"/>
      </w:pPr>
    </w:p>
    <w:p w:rsidR="004F54D7" w:rsidRDefault="004F54D7" w:rsidP="004F54D7">
      <w:pPr>
        <w:pStyle w:val="ad"/>
        <w:numPr>
          <w:ilvl w:val="0"/>
          <w:numId w:val="2"/>
        </w:numPr>
        <w:spacing w:after="120" w:line="360" w:lineRule="auto"/>
        <w:jc w:val="both"/>
        <w:rPr>
          <w:rtl/>
        </w:rPr>
      </w:pPr>
      <w:r>
        <w:rPr>
          <w:rtl/>
        </w:rPr>
        <w:t xml:space="preserve">בשל הימוריו הכבדים של האיש, פעלה לסיום השיתוף בחשבון המשותף, כך שהאיש פתח חשבון פרטי ממנו המשיך לממן את הימוריו ואילו היא נאלצה לשלם סך של 22,500 וכן 45,000 לצורך סגירת החשבון המשותף. יש להורות על החזרת הוצאות אחזקת המדור של דירת המגורים בהם נשאה אף לאחר יציאתה מהנכס ועד לחודש מאי 2018.  </w:t>
      </w:r>
    </w:p>
    <w:p w:rsidR="004F54D7" w:rsidRDefault="004F54D7" w:rsidP="004F54D7">
      <w:pPr>
        <w:pStyle w:val="ad"/>
      </w:pPr>
    </w:p>
    <w:p w:rsidR="004F54D7" w:rsidRDefault="004F54D7" w:rsidP="004F54D7">
      <w:pPr>
        <w:pStyle w:val="ad"/>
        <w:numPr>
          <w:ilvl w:val="0"/>
          <w:numId w:val="2"/>
        </w:numPr>
        <w:spacing w:after="120" w:line="360" w:lineRule="auto"/>
        <w:jc w:val="both"/>
        <w:rPr>
          <w:rtl/>
        </w:rPr>
      </w:pPr>
      <w:r>
        <w:rPr>
          <w:rtl/>
        </w:rPr>
        <w:t xml:space="preserve">מחמת התנהגותו האלימה והתעמרותו ללא הפסק, חששה המבקשת עד מאוד לחייה, כי האיש יממש את איומיו לרצוח אותה. עם זאת, הסכם הגירושין המקפח לא יושם בידי הצדדים. בשל הימוריו של האיש ונשיאתה הבלעדית בהוצאות המשכנתא והחזרי הלוואות הצדדים, הרי שחובו של האיש כלפי האשה הוא גדול יותר מסך זכויותיה הצבורות שאין לחלק  באופן שיווני. כלל הנתונים שצוינו בכתב התביעה של האיש, באשר לזכויותיה הצבורות, הינם מופרכים ואין להם קשר למה שקיים במציאות. אף בית הדין הרבני אמר את דברו ביחס להסכם המקפח, מכאן שאין מקום לאשרו. </w:t>
      </w:r>
    </w:p>
    <w:p w:rsidR="004F54D7" w:rsidRDefault="004F54D7" w:rsidP="004F54D7">
      <w:pPr>
        <w:pStyle w:val="ad"/>
      </w:pPr>
    </w:p>
    <w:p w:rsidR="004F54D7" w:rsidRDefault="004F54D7" w:rsidP="004F54D7">
      <w:pPr>
        <w:pStyle w:val="ad"/>
        <w:numPr>
          <w:ilvl w:val="0"/>
          <w:numId w:val="2"/>
        </w:numPr>
        <w:spacing w:after="120" w:line="360" w:lineRule="auto"/>
        <w:jc w:val="both"/>
        <w:rPr>
          <w:rtl/>
        </w:rPr>
      </w:pPr>
      <w:r>
        <w:rPr>
          <w:rtl/>
        </w:rPr>
        <w:t>בסיכומיה טענה, כי החלטת בית הדין הרבני אשר קבעה כי לא ניתן לאשר את ההסכם בגין הוראותיו העושקות, מהווה השתק פלוגתא אשר יש לכבדו וכי הכרעה זו מהותית אף לסוגיה שבפנינו.</w:t>
      </w:r>
      <w:r>
        <w:rPr>
          <w:sz w:val="20"/>
          <w:szCs w:val="20"/>
          <w:rtl/>
        </w:rPr>
        <w:t xml:space="preserve"> </w:t>
      </w:r>
    </w:p>
    <w:p w:rsidR="004F54D7" w:rsidRDefault="004F54D7" w:rsidP="004F54D7">
      <w:pPr>
        <w:pStyle w:val="ad"/>
      </w:pPr>
    </w:p>
    <w:p w:rsidR="004F54D7" w:rsidRDefault="004F54D7" w:rsidP="004F54D7">
      <w:pPr>
        <w:pStyle w:val="ad"/>
        <w:numPr>
          <w:ilvl w:val="0"/>
          <w:numId w:val="2"/>
        </w:numPr>
        <w:spacing w:after="120" w:line="360" w:lineRule="auto"/>
        <w:jc w:val="both"/>
        <w:rPr>
          <w:rtl/>
        </w:rPr>
      </w:pPr>
      <w:r>
        <w:rPr>
          <w:rtl/>
        </w:rPr>
        <w:t xml:space="preserve">התובע הפעיל </w:t>
      </w:r>
      <w:r>
        <w:rPr>
          <w:i/>
          <w:iCs/>
          <w:rtl/>
        </w:rPr>
        <w:t>אלימות רוחנית</w:t>
      </w:r>
      <w:r>
        <w:rPr>
          <w:rtl/>
        </w:rPr>
        <w:t xml:space="preserve"> עד כדי התעמרות קשה על האשה, באופן אשר גרם לה לחתום על ההסכם המקפח ולאחריו נאלצה לברוח מביתה. עדותה של האשה חוזקה בעדות העדים האחרים בדבר ההתעללות אשר עברה. בנותיהם של הצדדים העידו אודות איומיו של האיש שהפנה כלפי האשה, שגבלו באיומי רצח, אם לא תענה לתכתיביו. </w:t>
      </w:r>
    </w:p>
    <w:p w:rsidR="004F54D7" w:rsidRDefault="004F54D7" w:rsidP="004F54D7">
      <w:pPr>
        <w:pStyle w:val="ad"/>
      </w:pPr>
    </w:p>
    <w:p w:rsidR="004F54D7" w:rsidRDefault="004F54D7" w:rsidP="004F54D7">
      <w:pPr>
        <w:pStyle w:val="ad"/>
        <w:numPr>
          <w:ilvl w:val="0"/>
          <w:numId w:val="2"/>
        </w:numPr>
        <w:spacing w:after="120" w:line="360" w:lineRule="auto"/>
        <w:jc w:val="both"/>
        <w:rPr>
          <w:rtl/>
        </w:rPr>
      </w:pPr>
      <w:r>
        <w:rPr>
          <w:rtl/>
        </w:rPr>
        <w:t xml:space="preserve">על אף חששה הגדול מהאיש, התובעת חזרה 4 פעמים לדירה בניסיון לשקם את מערכת היחסים עמו, אך ללא הצלחה. האיש חזר שוב ושוב על ההאשמות הרבות כלפיה ועינה אותה, כך שהיא לא ישנה משך 5 ימים. הוכח כי האיש היה מכור להימורים, כך שגם אם יורה בימ"ש על איזון משאבים, הרי שאין מקום לאזן את הרכוש בחלקים שווים, כי אם לקחת בחשבון את הכספים המשותפים שאבדו בשל חובות ההימורים. </w:t>
      </w:r>
    </w:p>
    <w:p w:rsidR="004F54D7" w:rsidRDefault="004F54D7" w:rsidP="004F54D7">
      <w:pPr>
        <w:pStyle w:val="ad"/>
      </w:pPr>
    </w:p>
    <w:p w:rsidR="004F54D7" w:rsidRDefault="004F54D7" w:rsidP="004F54D7">
      <w:pPr>
        <w:pStyle w:val="ad"/>
        <w:numPr>
          <w:ilvl w:val="0"/>
          <w:numId w:val="2"/>
        </w:numPr>
        <w:spacing w:after="120" w:line="360" w:lineRule="auto"/>
        <w:jc w:val="both"/>
        <w:rPr>
          <w:rtl/>
        </w:rPr>
      </w:pPr>
      <w:r>
        <w:rPr>
          <w:rtl/>
        </w:rPr>
        <w:t xml:space="preserve">האיש אישר כי האשה פרעה קרן השתלמות בסך של 155,000 ₪ לצורך כיסוי חלק מהמשכנתא בסך של 102,203 ₪ וכן תשלום הלוואה בסך של 43,000 ₪. יש להורות לבעל לתת לאשה את חלקה בגין קופת גמל שפדה בסך 100,000 ₪, רכב שמכר בסך של 26,000 ₪ וכן חלקה ברכישת חלקו של אחיו בדירת הירושה בסך של 50,000 ₪.  </w:t>
      </w:r>
    </w:p>
    <w:p w:rsidR="004F54D7" w:rsidRDefault="004F54D7" w:rsidP="004F54D7">
      <w:pPr>
        <w:pStyle w:val="ad"/>
      </w:pPr>
    </w:p>
    <w:p w:rsidR="004F54D7" w:rsidRDefault="004F54D7" w:rsidP="004F54D7">
      <w:pPr>
        <w:pStyle w:val="ad"/>
        <w:numPr>
          <w:ilvl w:val="0"/>
          <w:numId w:val="2"/>
        </w:numPr>
        <w:spacing w:after="120" w:line="360" w:lineRule="auto"/>
        <w:jc w:val="both"/>
        <w:rPr>
          <w:rtl/>
        </w:rPr>
      </w:pPr>
      <w:r>
        <w:rPr>
          <w:rtl/>
        </w:rPr>
        <w:t xml:space="preserve">בהעדר טענת הגנה העומדת לאיש, יש להורות על פירוק שיתוף בדירת הצדדים, הוסכם בין הצדדים כי שווי הדירה הינו 2.2 מיליון ₪. ברם הסכמה זו גובשה לפני זמן רב וכעת יש להורות על מינוי שמאי. </w:t>
      </w:r>
    </w:p>
    <w:p w:rsidR="004F54D7" w:rsidRDefault="004F54D7" w:rsidP="004F54D7">
      <w:pPr>
        <w:pStyle w:val="ad"/>
        <w:spacing w:after="120" w:line="360" w:lineRule="auto"/>
        <w:ind w:left="360"/>
        <w:jc w:val="both"/>
        <w:rPr>
          <w:highlight w:val="cyan"/>
        </w:rPr>
      </w:pPr>
    </w:p>
    <w:p w:rsidR="004F54D7" w:rsidRDefault="004F54D7" w:rsidP="00EC7425">
      <w:pPr>
        <w:pStyle w:val="ad"/>
        <w:numPr>
          <w:ilvl w:val="0"/>
          <w:numId w:val="2"/>
        </w:numPr>
        <w:spacing w:after="120" w:line="360" w:lineRule="auto"/>
        <w:jc w:val="both"/>
        <w:rPr>
          <w:rtl/>
        </w:rPr>
      </w:pPr>
      <w:r>
        <w:rPr>
          <w:rtl/>
        </w:rPr>
        <w:lastRenderedPageBreak/>
        <w:t>אשר לתביעת לשון הרע, עדויות העדים הוכיחו את הדיבה הרעה שהוציא האיש על האשה והנזק הרב שנגרם לה בפגיעתו הקשה בה ובבושה הרבה שנגרמה לה  עת הפיץ עלילות שווא עליה בכל העיר. האיש הטריד את מנהל ה</w:t>
      </w:r>
      <w:r w:rsidR="00EC7425">
        <w:rPr>
          <w:rFonts w:hint="cs"/>
          <w:rtl/>
        </w:rPr>
        <w:t>סניף</w:t>
      </w:r>
      <w:r>
        <w:rPr>
          <w:rtl/>
        </w:rPr>
        <w:t xml:space="preserve"> במשך מספר שבועות עד כי הוחלט להעמיד שומר בפתח הבנק כדי למנוע ממנו להיכנס. האיש נהג להמתין לעובדי הבנק בכניסה וסיפר באוזניהם על הרומן שמנהלת האשה עם מנהל ה</w:t>
      </w:r>
      <w:r w:rsidR="00EC7425">
        <w:rPr>
          <w:rFonts w:hint="cs"/>
          <w:rtl/>
        </w:rPr>
        <w:t>סניף</w:t>
      </w:r>
      <w:r>
        <w:rPr>
          <w:rtl/>
        </w:rPr>
        <w:t xml:space="preserve">. </w:t>
      </w:r>
    </w:p>
    <w:p w:rsidR="004F54D7" w:rsidRDefault="004F54D7" w:rsidP="004F54D7">
      <w:pPr>
        <w:pStyle w:val="ad"/>
      </w:pPr>
    </w:p>
    <w:p w:rsidR="004F54D7" w:rsidRDefault="004F54D7" w:rsidP="004F54D7">
      <w:pPr>
        <w:pStyle w:val="ad"/>
        <w:numPr>
          <w:ilvl w:val="0"/>
          <w:numId w:val="2"/>
        </w:numPr>
        <w:spacing w:after="120" w:line="360" w:lineRule="auto"/>
        <w:jc w:val="both"/>
        <w:rPr>
          <w:rtl/>
        </w:rPr>
      </w:pPr>
      <w:r>
        <w:rPr>
          <w:rtl/>
        </w:rPr>
        <w:t>בעדותו אישר האיש, כי דיבר בשפה קשה כלפי האשה, אך אמירותיו המתחמקות הוכיחו כי אין לקבל את גרסתו לאירועים. בגין פגיעתו של האיש בפרטיותה של האשה אשר הוכחה עם כוונה לפגוע, יש להורות על חיובו בתשלום סך של 100,000 ₪.</w:t>
      </w:r>
    </w:p>
    <w:p w:rsidR="004F54D7" w:rsidRDefault="004F54D7" w:rsidP="004F54D7">
      <w:pPr>
        <w:spacing w:line="360" w:lineRule="auto"/>
        <w:jc w:val="both"/>
        <w:rPr>
          <w:b/>
          <w:bCs/>
          <w:u w:val="single"/>
        </w:rPr>
      </w:pPr>
      <w:r>
        <w:rPr>
          <w:b/>
          <w:bCs/>
          <w:u w:val="single"/>
          <w:rtl/>
        </w:rPr>
        <w:t xml:space="preserve">האיש </w:t>
      </w:r>
    </w:p>
    <w:p w:rsidR="004F54D7" w:rsidRDefault="004F54D7" w:rsidP="004F54D7">
      <w:pPr>
        <w:pStyle w:val="ad"/>
        <w:numPr>
          <w:ilvl w:val="0"/>
          <w:numId w:val="3"/>
        </w:numPr>
        <w:spacing w:line="360" w:lineRule="auto"/>
        <w:jc w:val="both"/>
        <w:rPr>
          <w:rtl/>
        </w:rPr>
      </w:pPr>
      <w:r>
        <w:rPr>
          <w:rtl/>
        </w:rPr>
        <w:t xml:space="preserve">מערכת היחסים בין הצדדים באה אל סיומה לאור דרישת האשה ועל רקע מצבה הכלכלי הטוב אל מול העדר הכנסה של האיש, לאור האירוע הלבבי שעבר. בשל כך, חתמו הצדדים על שני הסכמים אשר ביטאו מגמה זו. </w:t>
      </w:r>
    </w:p>
    <w:p w:rsidR="004F54D7" w:rsidRDefault="004F54D7" w:rsidP="004F54D7">
      <w:pPr>
        <w:pStyle w:val="ad"/>
      </w:pPr>
    </w:p>
    <w:p w:rsidR="004F54D7" w:rsidRDefault="004F54D7" w:rsidP="004F54D7">
      <w:pPr>
        <w:pStyle w:val="ad"/>
        <w:numPr>
          <w:ilvl w:val="0"/>
          <w:numId w:val="3"/>
        </w:numPr>
        <w:spacing w:line="360" w:lineRule="auto"/>
        <w:jc w:val="both"/>
      </w:pPr>
      <w:r>
        <w:rPr>
          <w:rtl/>
        </w:rPr>
        <w:t xml:space="preserve">הסכם ראשון "חלוקת הממון" מיום 23.7.2017 נחתם ע"י הצדדים בנוכחות שתי בנותיהם, כאשר כל סעיפי ההסכם הוכתבו ע"י האשה, בעוד שהאיש מתקשה בקריאה ואינו כותב בעברית. </w:t>
      </w:r>
    </w:p>
    <w:p w:rsidR="004F54D7" w:rsidRDefault="004F54D7" w:rsidP="004F54D7">
      <w:pPr>
        <w:pStyle w:val="ad"/>
      </w:pPr>
    </w:p>
    <w:p w:rsidR="004F54D7" w:rsidRDefault="004F54D7" w:rsidP="004A5D44">
      <w:pPr>
        <w:pStyle w:val="ad"/>
        <w:numPr>
          <w:ilvl w:val="0"/>
          <w:numId w:val="3"/>
        </w:numPr>
        <w:spacing w:line="360" w:lineRule="auto"/>
        <w:jc w:val="both"/>
        <w:rPr>
          <w:rtl/>
        </w:rPr>
      </w:pPr>
      <w:r>
        <w:rPr>
          <w:rtl/>
        </w:rPr>
        <w:t>מיד לאחר חתימת ההסכם הראשון, החלו הצדדים ליישמו, כך פדתה האשה זכויות כספיות, אשר היוו כספים משותפים (58,305 ₪ ש</w:t>
      </w:r>
      <w:r w:rsidR="003B0DB8">
        <w:rPr>
          <w:rtl/>
        </w:rPr>
        <w:t>נמשכו מקופ</w:t>
      </w:r>
      <w:r w:rsidR="003B0DB8">
        <w:rPr>
          <w:rFonts w:hint="cs"/>
          <w:rtl/>
        </w:rPr>
        <w:t xml:space="preserve">ת </w:t>
      </w:r>
      <w:r w:rsidR="003B0DB8">
        <w:t>a</w:t>
      </w:r>
      <w:r>
        <w:rPr>
          <w:rtl/>
        </w:rPr>
        <w:t xml:space="preserve">) וכן שילמה חלק מהחיובים שהוסכמו ע"י הצדדים שישולמו על ידה. שמו של האיש נגרע מהחשבון המשותף שנותר על שם האשה. הצדדים אף נפגשו עם עו"ד </w:t>
      </w:r>
      <w:r w:rsidR="004A5D44">
        <w:rPr>
          <w:rFonts w:hint="cs"/>
          <w:rtl/>
        </w:rPr>
        <w:t xml:space="preserve">ל' </w:t>
      </w:r>
      <w:r>
        <w:rPr>
          <w:rtl/>
        </w:rPr>
        <w:t xml:space="preserve">כדי להיוועץ על אופן העברת זכויות האשה בדירת המגורים על שם האיש. </w:t>
      </w:r>
    </w:p>
    <w:p w:rsidR="004F54D7" w:rsidRDefault="004F54D7" w:rsidP="004F54D7">
      <w:pPr>
        <w:pStyle w:val="ad"/>
      </w:pPr>
    </w:p>
    <w:p w:rsidR="004F54D7" w:rsidRDefault="004F54D7" w:rsidP="004F54D7">
      <w:pPr>
        <w:pStyle w:val="ad"/>
        <w:numPr>
          <w:ilvl w:val="0"/>
          <w:numId w:val="3"/>
        </w:numPr>
        <w:spacing w:line="360" w:lineRule="auto"/>
        <w:jc w:val="both"/>
        <w:rPr>
          <w:rtl/>
        </w:rPr>
      </w:pPr>
      <w:r>
        <w:rPr>
          <w:rtl/>
        </w:rPr>
        <w:t xml:space="preserve">בהתאם להוראות ההסכם הראשון, עזבה האשה את דירת המגורים תוך שהיא נוטלת עמה חלק מן המטלטלין והאיש העביר על שמו את הוראות הקבע של הוצאות אחזקת המדור. הצדדים אף פנו לבדוק כיצד מעבירים את הדירה על שם האיש ואף התקבל מידע אודות גובה הלוואת המגורים הרובצת על הדירה. </w:t>
      </w:r>
    </w:p>
    <w:p w:rsidR="004F54D7" w:rsidRDefault="004F54D7" w:rsidP="004F54D7">
      <w:pPr>
        <w:pStyle w:val="ad"/>
      </w:pPr>
    </w:p>
    <w:p w:rsidR="004F54D7" w:rsidRDefault="004F54D7" w:rsidP="00CE6DE5">
      <w:pPr>
        <w:pStyle w:val="ad"/>
        <w:numPr>
          <w:ilvl w:val="0"/>
          <w:numId w:val="3"/>
        </w:numPr>
        <w:spacing w:line="360" w:lineRule="auto"/>
        <w:jc w:val="both"/>
        <w:rPr>
          <w:rtl/>
        </w:rPr>
      </w:pPr>
      <w:r>
        <w:rPr>
          <w:rtl/>
        </w:rPr>
        <w:t xml:space="preserve">ביום 11.9.2017 חתמו הצדדים על הסכם גירושין אשר נערך ע"י עו"ד </w:t>
      </w:r>
      <w:r w:rsidR="00CE6DE5">
        <w:rPr>
          <w:rFonts w:hint="cs"/>
          <w:rtl/>
        </w:rPr>
        <w:t>א'</w:t>
      </w:r>
      <w:r>
        <w:rPr>
          <w:rtl/>
        </w:rPr>
        <w:t xml:space="preserve">, התואם את הוראות ההסכם הראשון. עיקרי הוראות ההסכם – העברת דירת המגורים על שם האיש, אגב גירושין, חלוקת מטלטלין בעין, כל צד יוותר בעלים של הרכב שברשותו וכן בעלים של כלל נכסי העתודה הכלכלית שלו, לרבות מוניטין. שמו של האיש ייגרע מהחשבון המשותף והוא יוותר לאשה, על זכויותיו וחובותיו. </w:t>
      </w:r>
    </w:p>
    <w:p w:rsidR="004F54D7" w:rsidRDefault="004F54D7" w:rsidP="00D039BE">
      <w:pPr>
        <w:pStyle w:val="ad"/>
        <w:numPr>
          <w:ilvl w:val="0"/>
          <w:numId w:val="3"/>
        </w:numPr>
        <w:spacing w:line="360" w:lineRule="auto"/>
        <w:jc w:val="both"/>
        <w:rPr>
          <w:rtl/>
        </w:rPr>
      </w:pPr>
      <w:r>
        <w:rPr>
          <w:rtl/>
        </w:rPr>
        <w:lastRenderedPageBreak/>
        <w:t>האשה שנשאה בתשלום שכ"ט עו"ד א</w:t>
      </w:r>
      <w:r w:rsidR="00D039BE">
        <w:rPr>
          <w:rFonts w:hint="cs"/>
          <w:rtl/>
        </w:rPr>
        <w:t>'</w:t>
      </w:r>
      <w:r>
        <w:rPr>
          <w:rtl/>
        </w:rPr>
        <w:t xml:space="preserve">, ביקשה כי יגיש את הסכם הגירושין לאישור בבית הדין הרבני וכך נעשה, זו אף נשאה בתשלום אגרת בית הדין ודיון נקבע לצדדים. במהלך הדיון ברבני ובשל עצת אחיתופל שקיבלה, חזרה בה האשה מהסכמות הצדדים וסירבה לאשר את ההסכם. </w:t>
      </w:r>
    </w:p>
    <w:p w:rsidR="004F54D7" w:rsidRDefault="004F54D7" w:rsidP="004F54D7">
      <w:pPr>
        <w:pStyle w:val="ad"/>
      </w:pPr>
    </w:p>
    <w:p w:rsidR="004F54D7" w:rsidRDefault="004F54D7" w:rsidP="00AE13AF">
      <w:pPr>
        <w:pStyle w:val="ad"/>
        <w:numPr>
          <w:ilvl w:val="0"/>
          <w:numId w:val="3"/>
        </w:numPr>
        <w:spacing w:line="360" w:lineRule="auto"/>
        <w:jc w:val="both"/>
        <w:rPr>
          <w:rtl/>
        </w:rPr>
      </w:pPr>
      <w:r>
        <w:rPr>
          <w:rtl/>
        </w:rPr>
        <w:t xml:space="preserve">האשה צברה משך עבודתה, </w:t>
      </w:r>
      <w:r w:rsidR="00AE13AF">
        <w:rPr>
          <w:rFonts w:hint="cs"/>
          <w:rtl/>
        </w:rPr>
        <w:t>__</w:t>
      </w:r>
      <w:r>
        <w:rPr>
          <w:rtl/>
        </w:rPr>
        <w:t xml:space="preserve">שנה, כעובדת בכירה בבנק, זכויות כספיות רבות, העולות על שווי חלקה בדירת המגורים; שכרה החודשי הינו מעל 22,000 ₪ נכון למועד הגשת התביעה, זכאית לתוספת של 1% ועד 3% של העלאה בשכרה מידי שנה וכן זכאית להמיר 10% מקופת הגמל שברשותה למניות בל"ל. לזכותה נצברו מעל מיליון ₪ בקופות הגמל וכן 900,000 ₪ פיצויי פיטורין. באפשרותה של האשה להמיר את ימי החופש שצברה בשווי כסף, לאחר </w:t>
      </w:r>
      <w:r w:rsidR="00AE13AF">
        <w:rPr>
          <w:rFonts w:hint="cs"/>
          <w:rtl/>
        </w:rPr>
        <w:t>__</w:t>
      </w:r>
      <w:r>
        <w:rPr>
          <w:rtl/>
        </w:rPr>
        <w:t xml:space="preserve"> שנה זכאית למענק יובל, כל אלו בנוסף להטבות וזכויות רבות להן זכאית ממקום עבודתה.</w:t>
      </w:r>
    </w:p>
    <w:p w:rsidR="004F54D7" w:rsidRDefault="004F54D7" w:rsidP="004F54D7">
      <w:pPr>
        <w:pStyle w:val="ad"/>
      </w:pPr>
    </w:p>
    <w:p w:rsidR="004F54D7" w:rsidRDefault="004F54D7" w:rsidP="004F54D7">
      <w:pPr>
        <w:pStyle w:val="ad"/>
        <w:numPr>
          <w:ilvl w:val="0"/>
          <w:numId w:val="3"/>
        </w:numPr>
        <w:spacing w:line="360" w:lineRule="auto"/>
        <w:jc w:val="both"/>
        <w:rPr>
          <w:rtl/>
        </w:rPr>
      </w:pPr>
      <w:r>
        <w:rPr>
          <w:rtl/>
        </w:rPr>
        <w:t xml:space="preserve">לעומתה, האיש עבד באולם אירועים ובשל אירוע לבבי שעבר, הפסיק עבודתו וכיום הינו מובטל. את הכספים שקיבל בגין נזקי גוף שנגרמו לו, הפקיד לחשבון המשותף. </w:t>
      </w:r>
    </w:p>
    <w:p w:rsidR="004F54D7" w:rsidRDefault="004F54D7" w:rsidP="004F54D7">
      <w:pPr>
        <w:pStyle w:val="ad"/>
      </w:pPr>
    </w:p>
    <w:p w:rsidR="004F54D7" w:rsidRDefault="004F54D7" w:rsidP="004F54D7">
      <w:pPr>
        <w:pStyle w:val="ad"/>
        <w:numPr>
          <w:ilvl w:val="0"/>
          <w:numId w:val="3"/>
        </w:numPr>
        <w:spacing w:line="360" w:lineRule="auto"/>
        <w:jc w:val="both"/>
        <w:rPr>
          <w:rtl/>
        </w:rPr>
      </w:pPr>
      <w:r>
        <w:rPr>
          <w:rtl/>
        </w:rPr>
        <w:t xml:space="preserve">לאור כל זאת ובשל חתימת הצדדים על הסכם הגירושין ופועלם ליישומו, יש להורות על כי המדובר בהסכם מחייב ובר תוקף וליתן לו תוקף של פסק דין. עוד יש להתיר לבעל פיצול סעדים בגין כל סעד/עילה שטרם התבררה בעת הגשת התביעה. </w:t>
      </w:r>
    </w:p>
    <w:p w:rsidR="004F54D7" w:rsidRDefault="004F54D7" w:rsidP="004F54D7">
      <w:pPr>
        <w:pStyle w:val="ad"/>
      </w:pPr>
    </w:p>
    <w:p w:rsidR="004F54D7" w:rsidRDefault="004F54D7" w:rsidP="004F54D7">
      <w:pPr>
        <w:pStyle w:val="ad"/>
        <w:numPr>
          <w:ilvl w:val="0"/>
          <w:numId w:val="3"/>
        </w:numPr>
        <w:spacing w:after="120" w:line="360" w:lineRule="auto"/>
        <w:jc w:val="both"/>
        <w:rPr>
          <w:rtl/>
        </w:rPr>
      </w:pPr>
      <w:r>
        <w:rPr>
          <w:rtl/>
        </w:rPr>
        <w:t xml:space="preserve">תביעת האשה לפיצויים רצופה אמירות שפר ועובדות שקריות אשר כל מטרתה להוות כלי לחץ נוסף על האיש להיכנע לתכתיבי האשה אשר הפרה בצורה יסודית את ההסכמות שגובשו בין הצדדים. האשה אשר רכשה השכלה גבוהה והתקדמה במקום עבודתה משך חיי הנישואין, החלה לעלוב בבעל שהינו אדם דתי ולבזות אותו בנוכחות ילדי הצדדים, בני משפחה, מכרים ושכנים ואף בנוכחות חבריה במקום העבודה. </w:t>
      </w:r>
    </w:p>
    <w:p w:rsidR="004F54D7" w:rsidRDefault="004F54D7" w:rsidP="004F54D7">
      <w:pPr>
        <w:pStyle w:val="ad"/>
        <w:spacing w:after="120" w:line="360" w:lineRule="auto"/>
        <w:ind w:left="357"/>
        <w:jc w:val="both"/>
      </w:pPr>
    </w:p>
    <w:p w:rsidR="004F54D7" w:rsidRDefault="004F54D7" w:rsidP="004F54D7">
      <w:pPr>
        <w:pStyle w:val="ad"/>
        <w:numPr>
          <w:ilvl w:val="0"/>
          <w:numId w:val="3"/>
        </w:numPr>
        <w:spacing w:after="120" w:line="360" w:lineRule="auto"/>
        <w:jc w:val="both"/>
      </w:pPr>
      <w:r>
        <w:rPr>
          <w:rtl/>
        </w:rPr>
        <w:t xml:space="preserve">ידוע כי בסכסוכי משפחה, על בית המשפט לדון במשנה זהירות בהליכים הנוגעים לחוק לאיסור לשון הרע, שמטבע הדברים מחלוקות במשפחה טעונות באמוציות רבות וכי לעיתים נאמרים ביטויים קשים בתוך סערת הרגשות. </w:t>
      </w:r>
    </w:p>
    <w:p w:rsidR="004F54D7" w:rsidRDefault="004F54D7" w:rsidP="004F54D7">
      <w:pPr>
        <w:pStyle w:val="ad"/>
      </w:pPr>
    </w:p>
    <w:p w:rsidR="004F54D7" w:rsidRDefault="004F54D7" w:rsidP="00E845B4">
      <w:pPr>
        <w:pStyle w:val="ad"/>
        <w:numPr>
          <w:ilvl w:val="0"/>
          <w:numId w:val="3"/>
        </w:numPr>
        <w:spacing w:after="120" w:line="360" w:lineRule="auto"/>
        <w:jc w:val="both"/>
        <w:rPr>
          <w:rtl/>
        </w:rPr>
      </w:pPr>
      <w:r>
        <w:rPr>
          <w:rtl/>
        </w:rPr>
        <w:t>חשדותיו של האיש מקיומה של מערכת יחסים בין התובעת למנהל ה</w:t>
      </w:r>
      <w:r w:rsidR="00E845B4">
        <w:rPr>
          <w:rFonts w:hint="cs"/>
          <w:rtl/>
        </w:rPr>
        <w:t>סניף</w:t>
      </w:r>
      <w:r>
        <w:rPr>
          <w:rtl/>
        </w:rPr>
        <w:t xml:space="preserve"> נבעה מהתערבותו של זה הראשון במארג היחסים בין האשה לבעל בפנייתו אליו שיתיר לאשה להצטרף לאירוע של עובדי הבנק בתוך כך, החל האיש להרגיש בשינוי שחל באשה ובהתנהגותה. האשה היא שנהגה לשתף את האיש בכל יום בפרטי עבודתה בבנק והוא הכיר את מרבית לקוחותיה המתגוררים </w:t>
      </w:r>
      <w:r w:rsidR="00A86868">
        <w:rPr>
          <w:rFonts w:hint="cs"/>
          <w:rtl/>
        </w:rPr>
        <w:t>בעיר</w:t>
      </w:r>
      <w:r w:rsidR="0010715C">
        <w:rPr>
          <w:rFonts w:hint="cs"/>
          <w:rtl/>
        </w:rPr>
        <w:t xml:space="preserve"> </w:t>
      </w:r>
      <w:r w:rsidR="0010715C">
        <w:t>m</w:t>
      </w:r>
      <w:r>
        <w:rPr>
          <w:rtl/>
        </w:rPr>
        <w:t xml:space="preserve">. </w:t>
      </w:r>
    </w:p>
    <w:p w:rsidR="004F54D7" w:rsidRDefault="004F54D7" w:rsidP="004F54D7">
      <w:pPr>
        <w:pStyle w:val="ad"/>
      </w:pPr>
    </w:p>
    <w:p w:rsidR="004F54D7" w:rsidRDefault="004F54D7" w:rsidP="00881B18">
      <w:pPr>
        <w:pStyle w:val="ad"/>
        <w:numPr>
          <w:ilvl w:val="0"/>
          <w:numId w:val="3"/>
        </w:numPr>
        <w:spacing w:after="120" w:line="360" w:lineRule="auto"/>
        <w:jc w:val="both"/>
        <w:rPr>
          <w:rtl/>
        </w:rPr>
      </w:pPr>
      <w:r>
        <w:rPr>
          <w:rtl/>
        </w:rPr>
        <w:t xml:space="preserve"> האיש לא חיטט לאשה בנייד, כי אם עשה שימוש במכשיר הטלפון בנוכחותה. אז התחוור לו פרטים נוספים אודות שקריה של האשה, לרבות מסרון ששלחה למנהל ה</w:t>
      </w:r>
      <w:r w:rsidR="00881B18">
        <w:rPr>
          <w:rFonts w:hint="cs"/>
          <w:rtl/>
        </w:rPr>
        <w:t>סניף</w:t>
      </w:r>
      <w:r>
        <w:rPr>
          <w:rtl/>
        </w:rPr>
        <w:t xml:space="preserve"> לאחר השתתפותה באירוע של עובדי הבנק, שאינו מתאים לאורחות המשפחה. עוד גילה כי מנהל ה</w:t>
      </w:r>
      <w:r w:rsidR="00881B18">
        <w:rPr>
          <w:rFonts w:hint="cs"/>
          <w:rtl/>
        </w:rPr>
        <w:t>סניף</w:t>
      </w:r>
      <w:r>
        <w:rPr>
          <w:rtl/>
        </w:rPr>
        <w:t xml:space="preserve"> מכנה את האשה בשם חיבה. </w:t>
      </w:r>
    </w:p>
    <w:p w:rsidR="004F54D7" w:rsidRDefault="004F54D7" w:rsidP="004F54D7">
      <w:pPr>
        <w:pStyle w:val="ad"/>
      </w:pPr>
    </w:p>
    <w:p w:rsidR="004F54D7" w:rsidRDefault="004F54D7" w:rsidP="0032044B">
      <w:pPr>
        <w:pStyle w:val="ad"/>
        <w:numPr>
          <w:ilvl w:val="0"/>
          <w:numId w:val="3"/>
        </w:numPr>
        <w:spacing w:after="120" w:line="360" w:lineRule="auto"/>
        <w:jc w:val="both"/>
        <w:rPr>
          <w:rtl/>
        </w:rPr>
      </w:pPr>
      <w:r>
        <w:rPr>
          <w:rtl/>
        </w:rPr>
        <w:t>לבירור העניין פנה האיש למנהל ה</w:t>
      </w:r>
      <w:r w:rsidR="0032044B">
        <w:rPr>
          <w:rFonts w:hint="cs"/>
          <w:rtl/>
        </w:rPr>
        <w:t>סניף</w:t>
      </w:r>
      <w:r>
        <w:rPr>
          <w:rtl/>
        </w:rPr>
        <w:t xml:space="preserve"> ושיתף אותו בחששותיו; בהתאם להצעת האשה, הצדדים אף הלכו לבקר בקברם של הוריה, שם שיתפה אותה האשה במעשיה הנלוזים. האשה אשר ביקשה להביא לסיום חיי הנישואין של הצדדים, חתמה על הסכם חלוקת ממון בנוכחות בנותיהם של הצדדים. חתימת האשה על הסכם הגירושין נעשתה על יסוד זכויותיה הצבורות הרבות ממקום עבודתה, שהינן הרבה מעבר לשווי דירת המגורים. </w:t>
      </w:r>
    </w:p>
    <w:p w:rsidR="004F54D7" w:rsidRDefault="004F54D7" w:rsidP="004F54D7">
      <w:pPr>
        <w:pStyle w:val="ad"/>
      </w:pPr>
    </w:p>
    <w:p w:rsidR="004F54D7" w:rsidRDefault="004F54D7" w:rsidP="00950E04">
      <w:pPr>
        <w:pStyle w:val="ad"/>
        <w:numPr>
          <w:ilvl w:val="0"/>
          <w:numId w:val="3"/>
        </w:numPr>
        <w:spacing w:after="120" w:line="360" w:lineRule="auto"/>
        <w:jc w:val="both"/>
        <w:rPr>
          <w:rtl/>
        </w:rPr>
      </w:pPr>
      <w:r>
        <w:rPr>
          <w:rtl/>
        </w:rPr>
        <w:t>האיש לא סיפר אודות מעשי האשה לאנשים אחרים, כגון מעבידה, מכרי הצדדים וכו'. הוא פנה בתלונה להנהלת הבנק אודות היחסים הלא ברורים בין האשה למנהל ה</w:t>
      </w:r>
      <w:r w:rsidR="00950E04">
        <w:rPr>
          <w:rFonts w:hint="cs"/>
          <w:rtl/>
        </w:rPr>
        <w:t xml:space="preserve">סניף </w:t>
      </w:r>
      <w:r>
        <w:rPr>
          <w:rtl/>
        </w:rPr>
        <w:t>מתוך חשש לניצול יחסי מרות. התנהגות האשה, שהתרועעה עם מנהל ה</w:t>
      </w:r>
      <w:r w:rsidR="00950E04">
        <w:rPr>
          <w:rFonts w:hint="cs"/>
          <w:rtl/>
        </w:rPr>
        <w:t>סניף</w:t>
      </w:r>
      <w:r>
        <w:rPr>
          <w:rtl/>
        </w:rPr>
        <w:t xml:space="preserve"> מעבר לשעות העבודה, גרמה להשפלתו של האיש בעיני אחרים ואף לפגיעה במצבו הכלכלי והבריאותי.</w:t>
      </w:r>
    </w:p>
    <w:p w:rsidR="004F54D7" w:rsidRDefault="004F54D7" w:rsidP="004F54D7">
      <w:pPr>
        <w:pStyle w:val="ad"/>
      </w:pPr>
    </w:p>
    <w:p w:rsidR="004F54D7" w:rsidRDefault="004F54D7" w:rsidP="004F54D7">
      <w:pPr>
        <w:pStyle w:val="ad"/>
        <w:numPr>
          <w:ilvl w:val="0"/>
          <w:numId w:val="3"/>
        </w:numPr>
        <w:spacing w:after="120" w:line="360" w:lineRule="auto"/>
        <w:jc w:val="both"/>
        <w:rPr>
          <w:rtl/>
        </w:rPr>
      </w:pPr>
      <w:r>
        <w:rPr>
          <w:rtl/>
        </w:rPr>
        <w:t xml:space="preserve">כחלק מניסיונותיה לקדם את תביעתה, הגישה האשה תלונות שווא כנגד האיש במשטרה והוציאה עליו דיבתה. יש להורות על דחיית התביעה, תוך חיוב האשה בהוצאות משפט ובסכומים ריאליים. </w:t>
      </w:r>
    </w:p>
    <w:p w:rsidR="004F54D7" w:rsidRDefault="004F54D7" w:rsidP="004F54D7">
      <w:pPr>
        <w:pStyle w:val="ad"/>
      </w:pPr>
    </w:p>
    <w:p w:rsidR="004F54D7" w:rsidRDefault="004F54D7" w:rsidP="004F54D7">
      <w:pPr>
        <w:pStyle w:val="ad"/>
        <w:numPr>
          <w:ilvl w:val="0"/>
          <w:numId w:val="3"/>
        </w:numPr>
        <w:spacing w:after="120" w:line="360" w:lineRule="auto"/>
        <w:jc w:val="both"/>
        <w:rPr>
          <w:rtl/>
        </w:rPr>
      </w:pPr>
      <w:r>
        <w:rPr>
          <w:rtl/>
        </w:rPr>
        <w:t>כך גם לגבי תביעת האשה לפירוק שיתוף שהוגשה בחוסר תו"ל ותוך הפרה יסודית של הסכמות אשר גובשו בין הצדדים אודות העברת חלקה של האשה בדירת המגורים לבעל. האשה היא שעזבה את דירת המגורים ואף מסרה את המפתח לבעל בהתאם לרצונה.</w:t>
      </w:r>
    </w:p>
    <w:p w:rsidR="004F54D7" w:rsidRDefault="004F54D7" w:rsidP="004F54D7">
      <w:pPr>
        <w:pStyle w:val="ad"/>
        <w:spacing w:after="120" w:line="360" w:lineRule="auto"/>
        <w:ind w:left="357"/>
        <w:jc w:val="both"/>
      </w:pPr>
    </w:p>
    <w:p w:rsidR="004F54D7" w:rsidRDefault="004F54D7" w:rsidP="00AE183B">
      <w:pPr>
        <w:pStyle w:val="ad"/>
        <w:numPr>
          <w:ilvl w:val="0"/>
          <w:numId w:val="3"/>
        </w:numPr>
        <w:spacing w:after="120" w:line="360" w:lineRule="auto"/>
        <w:jc w:val="both"/>
      </w:pPr>
      <w:r>
        <w:rPr>
          <w:rtl/>
        </w:rPr>
        <w:t>האשה הכתיבה את הוראות הסכם הגירושין שגובש בין הצדדים בשל רצונה להביא לסיום חיי הנישואין של הצדדים, כך קבעה היא בהסכם חלוקת הממון כי תוקפו מותנה במתן הגט. הסכם הגירושין אשר נערך ע"י עו"ד א</w:t>
      </w:r>
      <w:r w:rsidR="00AE183B">
        <w:rPr>
          <w:rFonts w:hint="cs"/>
          <w:rtl/>
        </w:rPr>
        <w:t>'</w:t>
      </w:r>
      <w:r>
        <w:rPr>
          <w:rtl/>
        </w:rPr>
        <w:t xml:space="preserve"> נעשה לאחר מחשבה רבה ומו"מ בין הצדדים, כחודשיים לאחר שחתמו על הסכם חלוקת הממון.</w:t>
      </w:r>
    </w:p>
    <w:p w:rsidR="004F54D7" w:rsidRDefault="004F54D7" w:rsidP="004F54D7">
      <w:pPr>
        <w:pStyle w:val="ad"/>
      </w:pPr>
    </w:p>
    <w:p w:rsidR="004F54D7" w:rsidRDefault="004F54D7" w:rsidP="004F54D7">
      <w:pPr>
        <w:pStyle w:val="ad"/>
        <w:numPr>
          <w:ilvl w:val="0"/>
          <w:numId w:val="3"/>
        </w:numPr>
        <w:spacing w:after="120" w:line="360" w:lineRule="auto"/>
        <w:jc w:val="both"/>
        <w:rPr>
          <w:rtl/>
        </w:rPr>
      </w:pPr>
      <w:r>
        <w:rPr>
          <w:rtl/>
        </w:rPr>
        <w:t xml:space="preserve">אבי האשה אכן סייע לצדדים ברכישת הדירה; ברם התגורר תקופה מסוימת בדירת הצדדים וחי על חשבונם. </w:t>
      </w:r>
    </w:p>
    <w:p w:rsidR="004F54D7" w:rsidRDefault="004F54D7" w:rsidP="004F54D7">
      <w:pPr>
        <w:pStyle w:val="ad"/>
      </w:pPr>
    </w:p>
    <w:p w:rsidR="004F54D7" w:rsidRDefault="004F54D7" w:rsidP="004F54D7">
      <w:pPr>
        <w:pStyle w:val="ad"/>
        <w:numPr>
          <w:ilvl w:val="0"/>
          <w:numId w:val="3"/>
        </w:numPr>
        <w:spacing w:after="120" w:line="360" w:lineRule="auto"/>
        <w:jc w:val="both"/>
        <w:rPr>
          <w:rtl/>
        </w:rPr>
      </w:pPr>
      <w:r>
        <w:rPr>
          <w:rtl/>
        </w:rPr>
        <w:lastRenderedPageBreak/>
        <w:t>אין להורות על פירוק שיתוף לאור טענות ההגנה המשמעותיות של האיש והואיל והצדדים היו בשלבים מתקדמים של יישום הסכם הגירושין, המורה על העברת חלקה של האשה בנכס אליו. לחלופין יש לבחון את פירוק השיתוף תוך בחינת התמונה הכלכלית במלואה ולהכריע רק אחר כך. משכך יש להורות על דחיית התובענה.</w:t>
      </w:r>
    </w:p>
    <w:p w:rsidR="004F54D7" w:rsidRDefault="004F54D7" w:rsidP="004F54D7">
      <w:pPr>
        <w:pStyle w:val="ad"/>
      </w:pPr>
    </w:p>
    <w:p w:rsidR="004F54D7" w:rsidRDefault="004F54D7" w:rsidP="00152653">
      <w:pPr>
        <w:pStyle w:val="ad"/>
        <w:numPr>
          <w:ilvl w:val="0"/>
          <w:numId w:val="3"/>
        </w:numPr>
        <w:spacing w:line="360" w:lineRule="auto"/>
        <w:jc w:val="both"/>
        <w:rPr>
          <w:rtl/>
        </w:rPr>
      </w:pPr>
      <w:r>
        <w:rPr>
          <w:rtl/>
        </w:rPr>
        <w:t>בתצהיר הוסיף כי האשה בחרה לסיים את חיי הנישואין לאור חוזקה הכלכלי לעומת מצבו של האיש הנעדר הכנסה. האשה החתימה אותו על הסכם חלוקת הממון בנוכחות בנותיהם של הצדדים, שכל תנאיו הוכתבו על ידה. מיד לאחר חתימתו, החלו הצדדים ובפרט האשה ליישמו. הסכם הגירושין נוסח בידי עו"ד א</w:t>
      </w:r>
      <w:r w:rsidR="00152653">
        <w:rPr>
          <w:rFonts w:hint="cs"/>
          <w:rtl/>
        </w:rPr>
        <w:t>'</w:t>
      </w:r>
      <w:r>
        <w:rPr>
          <w:rtl/>
        </w:rPr>
        <w:t xml:space="preserve"> ברוח ההוראות של הסכם חלוקת הממון. במהלך הדיון ברבני חזרה בה האשה מהסכמתה לאישור ההסכם.</w:t>
      </w:r>
    </w:p>
    <w:p w:rsidR="004F54D7" w:rsidRDefault="004F54D7" w:rsidP="004F54D7">
      <w:pPr>
        <w:pStyle w:val="ad"/>
      </w:pPr>
    </w:p>
    <w:p w:rsidR="004F54D7" w:rsidRDefault="004F54D7" w:rsidP="004F54D7">
      <w:pPr>
        <w:pStyle w:val="ad"/>
        <w:numPr>
          <w:ilvl w:val="0"/>
          <w:numId w:val="3"/>
        </w:numPr>
        <w:spacing w:line="360" w:lineRule="auto"/>
        <w:jc w:val="both"/>
        <w:rPr>
          <w:rtl/>
        </w:rPr>
      </w:pPr>
      <w:r>
        <w:rPr>
          <w:rtl/>
        </w:rPr>
        <w:t xml:space="preserve">האשה, שחזרה בה מההסכם שנחתם בין הצדדים, עושה זאת בחוסר תו"ל ותוך התעלמות מהזכויות הכלכליות הרבות שצברה במקום עבודתה, לרבות מוניטין, מניות ומענקים שונים שהינן זכויות משותפות שנצברו במהלך הנישואין. כנגד וויתורו של האיש בחלקו בזכויות הכספיות הרבות של האשה, החליטה זו להעניק את חלקה בדירת המגורים. מבוקש ליתן תוקף של פסק דין להסכם אשר קויים בין הצדדים. </w:t>
      </w:r>
    </w:p>
    <w:p w:rsidR="004F54D7" w:rsidRDefault="004F54D7" w:rsidP="004F54D7">
      <w:pPr>
        <w:pStyle w:val="ad"/>
      </w:pPr>
    </w:p>
    <w:p w:rsidR="004F54D7" w:rsidRDefault="004F54D7" w:rsidP="004F54D7">
      <w:pPr>
        <w:pStyle w:val="ad"/>
        <w:numPr>
          <w:ilvl w:val="0"/>
          <w:numId w:val="3"/>
        </w:numPr>
        <w:spacing w:line="360" w:lineRule="auto"/>
        <w:jc w:val="both"/>
        <w:rPr>
          <w:rtl/>
        </w:rPr>
      </w:pPr>
      <w:r>
        <w:rPr>
          <w:rtl/>
        </w:rPr>
        <w:t xml:space="preserve">תצהירי בנותיהם של הצדדים מעידות כי הן הולעטו מדברי הבלע שסיפרה להן האשה אודות המשבר שפרץ ביניהם וכן אלו היו חשופות למריבות בין בני הזוג , בהן נאמרו דברים קשים ע"י כל אחד המהצדדים. באשר לתצהירי עדים נוספים של מכרים שהמציאה האשה הרי אלו ברובם מטעם אנשי שלומה של האשה- אחיותיה, חברותיה ולקוחות של הבנק שהיא נותנת להם שירות, אז בוודאי שיסכימו ליתן עבורה תצהיר גם אם הוא מלא בדברי שקר וגוזמא. </w:t>
      </w:r>
    </w:p>
    <w:p w:rsidR="004F54D7" w:rsidRDefault="004F54D7" w:rsidP="004F54D7">
      <w:pPr>
        <w:pStyle w:val="ad"/>
      </w:pPr>
    </w:p>
    <w:p w:rsidR="004F54D7" w:rsidRDefault="004F54D7" w:rsidP="004F54D7">
      <w:pPr>
        <w:pStyle w:val="ad"/>
        <w:numPr>
          <w:ilvl w:val="0"/>
          <w:numId w:val="3"/>
        </w:numPr>
        <w:spacing w:line="360" w:lineRule="auto"/>
        <w:jc w:val="both"/>
        <w:rPr>
          <w:rtl/>
        </w:rPr>
      </w:pPr>
      <w:r>
        <w:rPr>
          <w:rtl/>
        </w:rPr>
        <w:t xml:space="preserve">אשר למשיכות המזומן שטענה להן האשה, הרי בחלק מהשנים חשבון הבנק המשותף היה רשום רק על שם האשה ולא הייתה לו יכולת לבצע בו פעולות, כך שאין מקום לקבל את ניסיונות האשה לטפול עליו אשמה למשיכות שבוצעו על ידה. </w:t>
      </w:r>
    </w:p>
    <w:p w:rsidR="004F54D7" w:rsidRDefault="004F54D7" w:rsidP="004F54D7">
      <w:pPr>
        <w:pStyle w:val="ad"/>
      </w:pPr>
    </w:p>
    <w:p w:rsidR="004F54D7" w:rsidRDefault="004F54D7" w:rsidP="004F54D7">
      <w:pPr>
        <w:pStyle w:val="ad"/>
        <w:numPr>
          <w:ilvl w:val="0"/>
          <w:numId w:val="3"/>
        </w:numPr>
        <w:spacing w:line="360" w:lineRule="auto"/>
        <w:jc w:val="both"/>
        <w:rPr>
          <w:rtl/>
        </w:rPr>
      </w:pPr>
      <w:r>
        <w:rPr>
          <w:rtl/>
        </w:rPr>
        <w:t>בסיכומיו טען, כי יש ליתן תוקף להסכם אשר נחתם בין הצדדים בגמירות דעת, התכוונות ואף ביצוע הוראותיו. המדובר בהסכם תקף, והגון התואם את פערי ההשתכרות העצומים בין הצדדים ומשקף את מצבו הבריאותי והנפשי של האיש. להסכם קדמו הרבה מחשבה ותכנון ואף היוועצות עם גורמים שונים</w:t>
      </w:r>
      <w:r w:rsidR="00881F94">
        <w:rPr>
          <w:rtl/>
        </w:rPr>
        <w:t>, לרבות בנות הצדדים ועו"ד א</w:t>
      </w:r>
      <w:r w:rsidR="00881F94">
        <w:rPr>
          <w:rFonts w:hint="cs"/>
          <w:rtl/>
        </w:rPr>
        <w:t>'</w:t>
      </w:r>
      <w:r>
        <w:rPr>
          <w:rtl/>
        </w:rPr>
        <w:t xml:space="preserve">. אין לקבל את טענתה החלשה של האשה בדבר הפחד והחשש בו הייתה נתונה שגרמו לה לחתום על ההסכם. </w:t>
      </w:r>
    </w:p>
    <w:p w:rsidR="004F54D7" w:rsidRDefault="004F54D7" w:rsidP="004F54D7">
      <w:pPr>
        <w:pStyle w:val="ad"/>
      </w:pPr>
    </w:p>
    <w:p w:rsidR="004F54D7" w:rsidRDefault="004F54D7" w:rsidP="004F54D7">
      <w:pPr>
        <w:pStyle w:val="ad"/>
        <w:numPr>
          <w:ilvl w:val="0"/>
          <w:numId w:val="3"/>
        </w:numPr>
        <w:spacing w:line="360" w:lineRule="auto"/>
        <w:jc w:val="both"/>
        <w:rPr>
          <w:rtl/>
        </w:rPr>
      </w:pPr>
      <w:r>
        <w:rPr>
          <w:rtl/>
        </w:rPr>
        <w:lastRenderedPageBreak/>
        <w:t xml:space="preserve">עדות האשה הייתה רצופה סתירות והסברים לא קוהרנטיים אודות התנהלותה סביב החתימת הצדדים על שני ההסכמים. האשה הודתה, כי היא עובדת בנק 40 שנה ומתעסקת בתחום, ברם לא הצליחה להבהיר הכיצד פעמיים בחרה לחתום על הסכם המקפח את זכויותיה כלשונה. כדי לחלץ את עצמה מן המצב אליו נקלעה, העלתה האשה טענות מן היקב ומן הגורן כדוג' הימורים של האיש, התעללות מתמשכת וכו'. אין לקבל טענת האשה לחלוקה לא שיוויונית של הרכוש המשותף, באשר לא עתרה לסעד הנ"ל במסגרת תביעתה. </w:t>
      </w:r>
    </w:p>
    <w:p w:rsidR="004F54D7" w:rsidRDefault="004F54D7" w:rsidP="004F54D7">
      <w:pPr>
        <w:pStyle w:val="ad"/>
      </w:pPr>
    </w:p>
    <w:p w:rsidR="004F54D7" w:rsidRDefault="004F54D7" w:rsidP="004F54D7">
      <w:pPr>
        <w:pStyle w:val="ad"/>
        <w:numPr>
          <w:ilvl w:val="0"/>
          <w:numId w:val="3"/>
        </w:numPr>
        <w:spacing w:line="360" w:lineRule="auto"/>
        <w:jc w:val="both"/>
        <w:rPr>
          <w:rtl/>
        </w:rPr>
      </w:pPr>
      <w:r>
        <w:rPr>
          <w:rtl/>
        </w:rPr>
        <w:t xml:space="preserve">בשל מצבו הבריאותי, האיש מקבל קצבת נכות, לאחר 3 צנתורים ובנוסף סובל הוא ממחלות נוספות, כגון סוכרת ולחץ דם. בשנים האחרונות אושפז מספר פעמים בשלוותא והוא במעקב פסיכיאטרי והוא נוטל כדורים חזקים. </w:t>
      </w:r>
    </w:p>
    <w:p w:rsidR="004F54D7" w:rsidRDefault="004F54D7" w:rsidP="004F54D7">
      <w:pPr>
        <w:pStyle w:val="ad"/>
      </w:pPr>
    </w:p>
    <w:p w:rsidR="004F54D7" w:rsidRDefault="004F54D7" w:rsidP="004F54D7">
      <w:pPr>
        <w:pStyle w:val="ad"/>
        <w:numPr>
          <w:ilvl w:val="0"/>
          <w:numId w:val="3"/>
        </w:numPr>
        <w:spacing w:line="360" w:lineRule="auto"/>
        <w:jc w:val="both"/>
        <w:rPr>
          <w:rtl/>
        </w:rPr>
      </w:pPr>
      <w:r>
        <w:rPr>
          <w:rtl/>
        </w:rPr>
        <w:t xml:space="preserve">בסיכומי התשובה הוסיף, כי לא נערך דיון מהותי אודות ההסכם בבית הדין הרבני וכי בפני בית הדין לא עמדו כלל הנתונים הכלכליים של הצדדים. בשל כך לא ניתן פסק דין/החלטה לגופו של עניין ביחס להסכם. בדיון אף האיש לא היה מיוצג, לעומת האשה אשר הגיעה עם באת כוחה ויצקה לפרוטוקול את טענת ההסכם המקפח. </w:t>
      </w:r>
    </w:p>
    <w:p w:rsidR="004F54D7" w:rsidRDefault="004F54D7" w:rsidP="004F54D7">
      <w:pPr>
        <w:pStyle w:val="ad"/>
      </w:pPr>
    </w:p>
    <w:p w:rsidR="004F54D7" w:rsidRDefault="004F54D7" w:rsidP="004F54D7">
      <w:pPr>
        <w:pStyle w:val="ad"/>
        <w:numPr>
          <w:ilvl w:val="0"/>
          <w:numId w:val="3"/>
        </w:numPr>
        <w:spacing w:line="360" w:lineRule="auto"/>
        <w:jc w:val="both"/>
        <w:rPr>
          <w:rtl/>
        </w:rPr>
      </w:pPr>
      <w:r>
        <w:rPr>
          <w:rtl/>
        </w:rPr>
        <w:t xml:space="preserve">עם פירוק הנישואין יש צורך לבצע איזונים רכושיים, ובמצבו של האיש אל מול האשה, אין ספק כי הותרת הדירה לבעל אינה עושק ולא מתנה, כי אם חלקו ברכושי הכלכלי שנצבר. המדובר באשה דעתנית ושתלטנית ולראיה כל הרכוש שנצבר רשום רק על שמה, מלבד הדירה. </w:t>
      </w:r>
    </w:p>
    <w:p w:rsidR="00106413" w:rsidRDefault="00106413" w:rsidP="004F54D7">
      <w:pPr>
        <w:spacing w:after="120" w:line="360" w:lineRule="auto"/>
        <w:jc w:val="both"/>
        <w:rPr>
          <w:b/>
          <w:bCs/>
          <w:u w:val="single"/>
          <w:rtl/>
        </w:rPr>
      </w:pPr>
    </w:p>
    <w:p w:rsidR="004F54D7" w:rsidRDefault="004F54D7" w:rsidP="004F54D7">
      <w:pPr>
        <w:spacing w:after="120" w:line="360" w:lineRule="auto"/>
        <w:jc w:val="both"/>
        <w:rPr>
          <w:b/>
          <w:bCs/>
          <w:u w:val="single"/>
          <w:rtl/>
        </w:rPr>
      </w:pPr>
      <w:r>
        <w:rPr>
          <w:b/>
          <w:bCs/>
          <w:u w:val="single"/>
          <w:rtl/>
        </w:rPr>
        <w:t>דיון והכרעה</w:t>
      </w:r>
    </w:p>
    <w:p w:rsidR="004F54D7" w:rsidRDefault="004F54D7" w:rsidP="00106413">
      <w:pPr>
        <w:spacing w:after="120" w:line="360" w:lineRule="auto"/>
        <w:jc w:val="both"/>
        <w:rPr>
          <w:rtl/>
        </w:rPr>
      </w:pPr>
      <w:r>
        <w:rPr>
          <w:b/>
          <w:bCs/>
          <w:u w:val="single"/>
          <w:rtl/>
        </w:rPr>
        <w:t>תביעת לשון הרע ופגיעה בהגנ</w:t>
      </w:r>
      <w:r w:rsidR="00106413">
        <w:rPr>
          <w:rFonts w:hint="cs"/>
          <w:b/>
          <w:bCs/>
          <w:u w:val="single"/>
          <w:rtl/>
        </w:rPr>
        <w:t>ת</w:t>
      </w:r>
      <w:r>
        <w:rPr>
          <w:b/>
          <w:bCs/>
          <w:u w:val="single"/>
          <w:rtl/>
        </w:rPr>
        <w:t xml:space="preserve"> הפרטיות </w:t>
      </w:r>
    </w:p>
    <w:p w:rsidR="004F54D7" w:rsidRDefault="004F54D7" w:rsidP="004F54D7">
      <w:pPr>
        <w:spacing w:after="120" w:line="360" w:lineRule="auto"/>
        <w:jc w:val="both"/>
        <w:rPr>
          <w:b/>
          <w:bCs/>
          <w:u w:val="single"/>
          <w:rtl/>
        </w:rPr>
      </w:pPr>
      <w:r>
        <w:rPr>
          <w:b/>
          <w:bCs/>
          <w:u w:val="single"/>
          <w:rtl/>
        </w:rPr>
        <w:t>מסגרת נורמטיבית</w:t>
      </w:r>
    </w:p>
    <w:p w:rsidR="004F54D7" w:rsidRDefault="004F54D7" w:rsidP="004F54D7">
      <w:pPr>
        <w:pStyle w:val="ad"/>
        <w:numPr>
          <w:ilvl w:val="0"/>
          <w:numId w:val="1"/>
        </w:numPr>
        <w:spacing w:after="120" w:line="360" w:lineRule="auto"/>
        <w:ind w:right="425"/>
        <w:jc w:val="both"/>
        <w:rPr>
          <w:rFonts w:ascii="Arial" w:hAnsi="Arial"/>
          <w:b/>
          <w:bCs/>
          <w:noProof w:val="0"/>
          <w:rtl/>
        </w:rPr>
      </w:pPr>
      <w:r>
        <w:rPr>
          <w:rtl/>
        </w:rPr>
        <w:t xml:space="preserve">הדיבור </w:t>
      </w:r>
      <w:r>
        <w:rPr>
          <w:b/>
          <w:bCs/>
          <w:rtl/>
        </w:rPr>
        <w:t>"לשון הרע"</w:t>
      </w:r>
      <w:r>
        <w:rPr>
          <w:rtl/>
        </w:rPr>
        <w:t xml:space="preserve"> מוגדר בחוק איסור לשון הרע, תשכ"ה-1965 (להלן: "</w:t>
      </w:r>
      <w:r>
        <w:rPr>
          <w:b/>
          <w:bCs/>
          <w:rtl/>
        </w:rPr>
        <w:t>חוק איסור לשון הרע</w:t>
      </w:r>
      <w:r>
        <w:rPr>
          <w:rtl/>
        </w:rPr>
        <w:t>").</w:t>
      </w:r>
    </w:p>
    <w:p w:rsidR="00CF017C" w:rsidRPr="00CF017C" w:rsidRDefault="00CF017C" w:rsidP="00CF017C">
      <w:pPr>
        <w:pStyle w:val="ad"/>
        <w:spacing w:after="120" w:line="360" w:lineRule="auto"/>
        <w:ind w:left="360" w:right="425"/>
        <w:jc w:val="both"/>
        <w:rPr>
          <w:rFonts w:ascii="Arial" w:hAnsi="Arial"/>
          <w:b/>
          <w:bCs/>
          <w:noProof w:val="0"/>
        </w:rPr>
      </w:pPr>
    </w:p>
    <w:p w:rsidR="004F54D7" w:rsidRDefault="004F54D7" w:rsidP="00CF017C">
      <w:pPr>
        <w:pStyle w:val="ad"/>
        <w:numPr>
          <w:ilvl w:val="0"/>
          <w:numId w:val="1"/>
        </w:numPr>
        <w:spacing w:after="120" w:line="360" w:lineRule="auto"/>
        <w:ind w:right="425"/>
        <w:jc w:val="both"/>
        <w:rPr>
          <w:rFonts w:ascii="Arial" w:hAnsi="Arial"/>
          <w:b/>
          <w:bCs/>
          <w:noProof w:val="0"/>
        </w:rPr>
      </w:pPr>
      <w:r>
        <w:rPr>
          <w:rtl/>
        </w:rPr>
        <w:t xml:space="preserve">סעיף 1 קובע כי </w:t>
      </w:r>
      <w:r>
        <w:rPr>
          <w:rFonts w:ascii="Arial" w:hAnsi="Arial"/>
          <w:b/>
          <w:bCs/>
          <w:noProof w:val="0"/>
          <w:rtl/>
        </w:rPr>
        <w:t>"לשון הרע היא דבר ש</w:t>
      </w:r>
      <w:r>
        <w:rPr>
          <w:rFonts w:ascii="Arial" w:hAnsi="Arial"/>
          <w:b/>
          <w:bCs/>
          <w:noProof w:val="0"/>
          <w:u w:val="single"/>
          <w:rtl/>
        </w:rPr>
        <w:t xml:space="preserve">פרסומו עלול </w:t>
      </w:r>
      <w:r>
        <w:rPr>
          <w:rFonts w:ascii="Arial" w:hAnsi="Arial"/>
          <w:b/>
          <w:bCs/>
          <w:noProof w:val="0"/>
          <w:rtl/>
        </w:rPr>
        <w:t xml:space="preserve">– </w:t>
      </w:r>
    </w:p>
    <w:p w:rsidR="004F54D7" w:rsidRDefault="004F54D7" w:rsidP="004F54D7">
      <w:pPr>
        <w:pStyle w:val="ad"/>
        <w:ind w:left="360" w:right="425"/>
        <w:jc w:val="both"/>
        <w:rPr>
          <w:rFonts w:ascii="Arial" w:hAnsi="Arial"/>
          <w:b/>
          <w:bCs/>
          <w:noProof w:val="0"/>
          <w:rtl/>
        </w:rPr>
      </w:pPr>
      <w:r>
        <w:rPr>
          <w:rFonts w:ascii="Arial" w:hAnsi="Arial"/>
          <w:b/>
          <w:bCs/>
          <w:noProof w:val="0"/>
          <w:rtl/>
        </w:rPr>
        <w:t>(1) להשפיל אדם בעיני הבריות או לעשותו מטרה לשנאה, לבוז או ללעז מצדם;</w:t>
      </w:r>
    </w:p>
    <w:p w:rsidR="004F54D7" w:rsidRDefault="004F54D7" w:rsidP="004F54D7">
      <w:pPr>
        <w:pStyle w:val="ad"/>
        <w:ind w:left="360" w:right="425"/>
        <w:jc w:val="both"/>
        <w:rPr>
          <w:b/>
          <w:bCs/>
          <w:rtl/>
        </w:rPr>
      </w:pPr>
      <w:r>
        <w:rPr>
          <w:b/>
          <w:bCs/>
          <w:rtl/>
        </w:rPr>
        <w:t>(2) לבזות אדם בשל מעשים, התנהגות או תכונות המיוחסים לו;</w:t>
      </w:r>
    </w:p>
    <w:p w:rsidR="004F54D7" w:rsidRDefault="004F54D7" w:rsidP="004F54D7">
      <w:pPr>
        <w:pStyle w:val="ad"/>
        <w:ind w:left="360" w:right="425"/>
        <w:jc w:val="both"/>
        <w:rPr>
          <w:b/>
          <w:bCs/>
          <w:rtl/>
        </w:rPr>
      </w:pPr>
      <w:r>
        <w:rPr>
          <w:b/>
          <w:bCs/>
          <w:rtl/>
        </w:rPr>
        <w:t>(3) לפגוע באדם במשרתו, אם משרה ציבורית ואם משרה אחרת, בעסקו, במשלח ידו או במקצועו;</w:t>
      </w:r>
    </w:p>
    <w:p w:rsidR="004F54D7" w:rsidRDefault="004F54D7" w:rsidP="004F54D7">
      <w:pPr>
        <w:pStyle w:val="ad"/>
        <w:ind w:left="360" w:right="425"/>
        <w:jc w:val="both"/>
        <w:rPr>
          <w:b/>
          <w:bCs/>
          <w:rtl/>
        </w:rPr>
      </w:pPr>
      <w:r>
        <w:rPr>
          <w:b/>
          <w:bCs/>
          <w:rtl/>
        </w:rPr>
        <w:t xml:space="preserve">(4) לבזות אדם בשל גזעו, מוצאו, דתו, מקום מגוריו, גילו, מינו, נטייתו המינית או מוגבלותו;" </w:t>
      </w:r>
    </w:p>
    <w:p w:rsidR="004F54D7" w:rsidRDefault="004F54D7" w:rsidP="004F54D7">
      <w:pPr>
        <w:pStyle w:val="ad"/>
        <w:spacing w:line="360" w:lineRule="auto"/>
        <w:ind w:left="360"/>
        <w:jc w:val="both"/>
        <w:rPr>
          <w:rFonts w:ascii="Arial" w:hAnsi="Arial"/>
          <w:noProof w:val="0"/>
          <w:rtl/>
        </w:rPr>
      </w:pPr>
    </w:p>
    <w:p w:rsidR="004F54D7" w:rsidRDefault="004F54D7" w:rsidP="004F54D7">
      <w:pPr>
        <w:pStyle w:val="ad"/>
        <w:numPr>
          <w:ilvl w:val="0"/>
          <w:numId w:val="1"/>
        </w:numPr>
        <w:spacing w:line="360" w:lineRule="auto"/>
        <w:jc w:val="both"/>
        <w:rPr>
          <w:rFonts w:ascii="Calibri" w:eastAsia="Calibri" w:hAnsi="Calibri"/>
          <w:noProof w:val="0"/>
          <w:rtl/>
        </w:rPr>
      </w:pPr>
      <w:r>
        <w:rPr>
          <w:rFonts w:ascii="Calibri" w:eastAsia="Calibri" w:hAnsi="Calibri"/>
          <w:b/>
          <w:bCs/>
          <w:noProof w:val="0"/>
          <w:rtl/>
        </w:rPr>
        <w:t>אין צורך להוכיח פגיעה בפועל</w:t>
      </w:r>
      <w:r>
        <w:rPr>
          <w:rFonts w:ascii="Calibri" w:eastAsia="Calibri" w:hAnsi="Calibri"/>
          <w:noProof w:val="0"/>
          <w:rtl/>
        </w:rPr>
        <w:t xml:space="preserve"> בשמו הטוב של האדם ודי בכך שהפרסום </w:t>
      </w:r>
      <w:r>
        <w:rPr>
          <w:rFonts w:ascii="Calibri" w:eastAsia="Calibri" w:hAnsi="Calibri"/>
          <w:b/>
          <w:bCs/>
          <w:noProof w:val="0"/>
          <w:rtl/>
        </w:rPr>
        <w:t>״עלול״</w:t>
      </w:r>
      <w:r>
        <w:rPr>
          <w:rFonts w:ascii="Calibri" w:eastAsia="Calibri" w:hAnsi="Calibri"/>
          <w:noProof w:val="0"/>
          <w:rtl/>
        </w:rPr>
        <w:t xml:space="preserve"> להביא למצבים הנמנים בחלופות הקבועות בסעיף 1 לחוק. לצד זאת נדרש, כי </w:t>
      </w:r>
      <w:r>
        <w:rPr>
          <w:rFonts w:ascii="Calibri" w:eastAsia="Calibri" w:hAnsi="Calibri"/>
          <w:b/>
          <w:bCs/>
          <w:noProof w:val="0"/>
          <w:rtl/>
        </w:rPr>
        <w:t>במוקד הדברים</w:t>
      </w:r>
      <w:r>
        <w:rPr>
          <w:rFonts w:ascii="Calibri" w:eastAsia="Calibri" w:hAnsi="Calibri"/>
          <w:noProof w:val="0"/>
          <w:rtl/>
        </w:rPr>
        <w:t xml:space="preserve"> העשויים להוות לשון הרע </w:t>
      </w:r>
      <w:r>
        <w:rPr>
          <w:rFonts w:ascii="Calibri" w:eastAsia="Calibri" w:hAnsi="Calibri"/>
          <w:b/>
          <w:bCs/>
          <w:noProof w:val="0"/>
          <w:rtl/>
        </w:rPr>
        <w:t>יעמוד אדם</w:t>
      </w:r>
      <w:r>
        <w:rPr>
          <w:rFonts w:ascii="Calibri" w:eastAsia="Calibri" w:hAnsi="Calibri"/>
          <w:noProof w:val="0"/>
          <w:rtl/>
        </w:rPr>
        <w:t xml:space="preserve">; קרי: יחיד או תאגיד (ר' ע״א 8345/08 </w:t>
      </w:r>
      <w:r>
        <w:rPr>
          <w:rFonts w:ascii="Calibri" w:eastAsia="Calibri" w:hAnsi="Calibri"/>
          <w:b/>
          <w:bCs/>
          <w:noProof w:val="0"/>
          <w:rtl/>
        </w:rPr>
        <w:t>נתן נ׳ בכרי,</w:t>
      </w:r>
      <w:r>
        <w:rPr>
          <w:rFonts w:ascii="Calibri" w:eastAsia="Calibri" w:hAnsi="Calibri"/>
          <w:noProof w:val="0"/>
          <w:rtl/>
        </w:rPr>
        <w:t xml:space="preserve"> פ״ד סה(1) 567 (2011),סעיף 30 לפסק דינו של כב׳ השופט דנציגר).</w:t>
      </w:r>
    </w:p>
    <w:p w:rsidR="004F54D7" w:rsidRDefault="004F54D7" w:rsidP="004F54D7">
      <w:pPr>
        <w:pStyle w:val="ad"/>
        <w:spacing w:line="360" w:lineRule="auto"/>
        <w:ind w:left="360"/>
        <w:jc w:val="both"/>
        <w:rPr>
          <w:rFonts w:ascii="Calibri" w:eastAsia="Calibri" w:hAnsi="Calibri"/>
          <w:noProof w:val="0"/>
        </w:rPr>
      </w:pPr>
    </w:p>
    <w:p w:rsidR="004F54D7" w:rsidRDefault="004F54D7" w:rsidP="004F54D7">
      <w:pPr>
        <w:pStyle w:val="ad"/>
        <w:numPr>
          <w:ilvl w:val="0"/>
          <w:numId w:val="1"/>
        </w:numPr>
        <w:spacing w:line="360" w:lineRule="auto"/>
        <w:jc w:val="both"/>
        <w:rPr>
          <w:rFonts w:ascii="Calibri" w:eastAsia="Calibri" w:hAnsi="Calibri"/>
          <w:noProof w:val="0"/>
        </w:rPr>
      </w:pPr>
      <w:r>
        <w:rPr>
          <w:rFonts w:ascii="Arial" w:hAnsi="Arial"/>
          <w:noProof w:val="0"/>
          <w:rtl/>
        </w:rPr>
        <w:t xml:space="preserve">סעיף 2 לחוק יוצק </w:t>
      </w:r>
      <w:r>
        <w:rPr>
          <w:rFonts w:ascii="Arial" w:hAnsi="Arial"/>
          <w:b/>
          <w:bCs/>
          <w:noProof w:val="0"/>
          <w:rtl/>
        </w:rPr>
        <w:t>תוכן רחב</w:t>
      </w:r>
      <w:r>
        <w:rPr>
          <w:rFonts w:ascii="Arial" w:hAnsi="Arial"/>
          <w:noProof w:val="0"/>
          <w:rtl/>
        </w:rPr>
        <w:t xml:space="preserve"> לדיבור </w:t>
      </w:r>
      <w:r>
        <w:rPr>
          <w:rFonts w:ascii="Arial" w:hAnsi="Arial"/>
          <w:b/>
          <w:bCs/>
          <w:noProof w:val="0"/>
          <w:rtl/>
        </w:rPr>
        <w:t>"פרסום"</w:t>
      </w:r>
      <w:r>
        <w:rPr>
          <w:rFonts w:ascii="Arial" w:hAnsi="Arial"/>
          <w:noProof w:val="0"/>
          <w:rtl/>
        </w:rPr>
        <w:t>; יש ופרסום יהא בע"פ, יש ויהא בכתב או בדפוס לרבות ציור, דמות תנועה צליל או כל אמצעי אחר;</w:t>
      </w:r>
      <w:r>
        <w:rPr>
          <w:rtl/>
        </w:rPr>
        <w:t xml:space="preserve"> זאת בין אם יועד לנפגע עצמו או לאדם אחר והגיעה לאדם אחר זולת הנפגע. </w:t>
      </w:r>
    </w:p>
    <w:p w:rsidR="004F54D7" w:rsidRDefault="004F54D7" w:rsidP="004F54D7">
      <w:pPr>
        <w:pStyle w:val="ad"/>
        <w:spacing w:line="360" w:lineRule="auto"/>
        <w:ind w:left="360"/>
        <w:jc w:val="both"/>
        <w:rPr>
          <w:rFonts w:ascii="Calibri" w:eastAsia="Calibri" w:hAnsi="Calibri"/>
          <w:noProof w:val="0"/>
        </w:rPr>
      </w:pPr>
    </w:p>
    <w:p w:rsidR="004F54D7" w:rsidRDefault="004F54D7" w:rsidP="004F54D7">
      <w:pPr>
        <w:pStyle w:val="ad"/>
        <w:numPr>
          <w:ilvl w:val="0"/>
          <w:numId w:val="1"/>
        </w:numPr>
        <w:spacing w:line="360" w:lineRule="auto"/>
        <w:jc w:val="both"/>
        <w:rPr>
          <w:rFonts w:ascii="Calibri" w:eastAsia="Calibri" w:hAnsi="Calibri"/>
          <w:noProof w:val="0"/>
        </w:rPr>
      </w:pPr>
      <w:r>
        <w:rPr>
          <w:rFonts w:ascii="Calibri" w:eastAsia="Calibri" w:hAnsi="Calibri"/>
          <w:noProof w:val="0"/>
          <w:rtl/>
        </w:rPr>
        <w:t xml:space="preserve">המבחן הפסיקתי לאורו נבחנת הסוגיה האמנם דברים שפורסמו עלולים להוות לשון הרע - הוא </w:t>
      </w:r>
      <w:r>
        <w:rPr>
          <w:rFonts w:ascii="Calibri" w:eastAsia="Calibri" w:hAnsi="Calibri"/>
          <w:b/>
          <w:bCs/>
          <w:noProof w:val="0"/>
          <w:rtl/>
        </w:rPr>
        <w:t>מבחן אובייקטיבי</w:t>
      </w:r>
      <w:r>
        <w:rPr>
          <w:rFonts w:ascii="Calibri" w:eastAsia="Calibri" w:hAnsi="Calibri"/>
          <w:noProof w:val="0"/>
          <w:rtl/>
        </w:rPr>
        <w:t xml:space="preserve">; ביהמ"ש אינו בוחן את הדברים בהתאם למשמעות הסובייקטיבית שמייחס להם הנפגע, אלא בודקם מנקודת מבטו של </w:t>
      </w:r>
      <w:r>
        <w:rPr>
          <w:rFonts w:ascii="Calibri" w:eastAsia="Calibri" w:hAnsi="Calibri"/>
          <w:i/>
          <w:iCs/>
          <w:noProof w:val="0"/>
          <w:rtl/>
        </w:rPr>
        <w:t xml:space="preserve">אדם סביר </w:t>
      </w:r>
      <w:r>
        <w:rPr>
          <w:rFonts w:ascii="Calibri" w:eastAsia="Calibri" w:hAnsi="Calibri"/>
          <w:noProof w:val="0"/>
          <w:rtl/>
        </w:rPr>
        <w:t xml:space="preserve">(ר' </w:t>
      </w:r>
      <w:r>
        <w:rPr>
          <w:rFonts w:ascii="Arial" w:hAnsi="Arial"/>
          <w:noProof w:val="0"/>
          <w:rtl/>
        </w:rPr>
        <w:t xml:space="preserve">ע"א 466/83 </w:t>
      </w:r>
      <w:r>
        <w:rPr>
          <w:rFonts w:ascii="Arial" w:hAnsi="Arial"/>
          <w:b/>
          <w:bCs/>
          <w:noProof w:val="0"/>
          <w:rtl/>
        </w:rPr>
        <w:t>שאהה נ' דרדריאן</w:t>
      </w:r>
      <w:r>
        <w:rPr>
          <w:rFonts w:ascii="Arial" w:hAnsi="Arial"/>
          <w:noProof w:val="0"/>
          <w:rtl/>
        </w:rPr>
        <w:t xml:space="preserve"> פ"ד לט(4) 734, 740 (1986); ע"א 740/86 </w:t>
      </w:r>
      <w:r>
        <w:rPr>
          <w:rFonts w:ascii="Arial" w:hAnsi="Arial"/>
          <w:b/>
          <w:bCs/>
          <w:noProof w:val="0"/>
          <w:rtl/>
        </w:rPr>
        <w:t xml:space="preserve">תומרקין נ' העצני, </w:t>
      </w:r>
      <w:r>
        <w:rPr>
          <w:rFonts w:ascii="Arial" w:hAnsi="Arial"/>
          <w:noProof w:val="0"/>
          <w:rtl/>
        </w:rPr>
        <w:t>פ"ד מג(2) 333, 337 (1989);</w:t>
      </w:r>
    </w:p>
    <w:p w:rsidR="004F54D7" w:rsidRDefault="004F54D7" w:rsidP="004F54D7">
      <w:pPr>
        <w:pStyle w:val="ad"/>
        <w:rPr>
          <w:rFonts w:ascii="Arial" w:hAnsi="Arial"/>
          <w:noProof w:val="0"/>
        </w:rPr>
      </w:pPr>
    </w:p>
    <w:p w:rsidR="004F54D7" w:rsidRDefault="004F54D7" w:rsidP="004F54D7">
      <w:pPr>
        <w:pStyle w:val="ad"/>
        <w:rPr>
          <w:rFonts w:ascii="Calibri" w:eastAsia="Calibri" w:hAnsi="Calibri"/>
          <w:noProof w:val="0"/>
          <w:rtl/>
        </w:rPr>
      </w:pPr>
    </w:p>
    <w:p w:rsidR="004F54D7" w:rsidRDefault="004F54D7" w:rsidP="004F54D7">
      <w:pPr>
        <w:pStyle w:val="ad"/>
        <w:numPr>
          <w:ilvl w:val="0"/>
          <w:numId w:val="1"/>
        </w:numPr>
        <w:spacing w:line="360" w:lineRule="auto"/>
        <w:jc w:val="both"/>
        <w:rPr>
          <w:rFonts w:ascii="Arial" w:hAnsi="Arial"/>
          <w:rtl/>
        </w:rPr>
      </w:pPr>
      <w:r>
        <w:rPr>
          <w:rFonts w:ascii="Calibri" w:eastAsia="Calibri" w:hAnsi="Calibri"/>
          <w:noProof w:val="0"/>
          <w:u w:val="single"/>
          <w:rtl/>
        </w:rPr>
        <w:t>ה</w:t>
      </w:r>
      <w:r>
        <w:rPr>
          <w:rFonts w:ascii="Calibri" w:eastAsia="Calibri" w:hAnsi="Calibri"/>
          <w:b/>
          <w:bCs/>
          <w:i/>
          <w:iCs/>
          <w:noProof w:val="0"/>
          <w:u w:val="single"/>
          <w:rtl/>
        </w:rPr>
        <w:t>מתווה הדיוני</w:t>
      </w:r>
      <w:r>
        <w:rPr>
          <w:rFonts w:ascii="Calibri" w:eastAsia="Calibri" w:hAnsi="Calibri"/>
          <w:b/>
          <w:bCs/>
          <w:noProof w:val="0"/>
          <w:u w:val="single"/>
          <w:rtl/>
        </w:rPr>
        <w:t xml:space="preserve"> </w:t>
      </w:r>
      <w:r>
        <w:rPr>
          <w:rFonts w:ascii="Calibri" w:eastAsia="Calibri" w:hAnsi="Calibri"/>
          <w:noProof w:val="0"/>
          <w:u w:val="single"/>
          <w:rtl/>
        </w:rPr>
        <w:t xml:space="preserve">שעל בסיסו מוכרע הליך מסוג זה הוא בן </w:t>
      </w:r>
      <w:r>
        <w:rPr>
          <w:rFonts w:ascii="Calibri" w:eastAsia="Calibri" w:hAnsi="Calibri"/>
          <w:b/>
          <w:bCs/>
          <w:noProof w:val="0"/>
          <w:u w:val="single"/>
          <w:rtl/>
        </w:rPr>
        <w:t xml:space="preserve">ארבעה שלבים, </w:t>
      </w:r>
      <w:r>
        <w:rPr>
          <w:rFonts w:ascii="Calibri" w:eastAsia="Calibri" w:hAnsi="Calibri"/>
          <w:noProof w:val="0"/>
          <w:u w:val="single"/>
          <w:rtl/>
        </w:rPr>
        <w:t>כפי שיפורט בתמצית</w:t>
      </w:r>
      <w:r>
        <w:rPr>
          <w:rFonts w:ascii="Calibri" w:eastAsia="Calibri" w:hAnsi="Calibri"/>
          <w:noProof w:val="0"/>
          <w:rtl/>
        </w:rPr>
        <w:t xml:space="preserve">: </w:t>
      </w:r>
    </w:p>
    <w:p w:rsidR="004F54D7" w:rsidRDefault="004F54D7" w:rsidP="004F54D7">
      <w:pPr>
        <w:pStyle w:val="ad"/>
        <w:spacing w:line="360" w:lineRule="auto"/>
        <w:ind w:left="360"/>
        <w:jc w:val="both"/>
        <w:rPr>
          <w:rFonts w:ascii="Calibri" w:eastAsia="Calibri" w:hAnsi="Calibri"/>
          <w:noProof w:val="0"/>
        </w:rPr>
      </w:pPr>
      <w:r>
        <w:rPr>
          <w:rFonts w:ascii="Calibri" w:eastAsia="Calibri" w:hAnsi="Calibri"/>
          <w:b/>
          <w:bCs/>
          <w:i/>
          <w:iCs/>
          <w:noProof w:val="0"/>
          <w:rtl/>
        </w:rPr>
        <w:t>תחילה</w:t>
      </w:r>
      <w:r>
        <w:rPr>
          <w:rFonts w:ascii="Calibri" w:eastAsia="Calibri" w:hAnsi="Calibri"/>
          <w:b/>
          <w:bCs/>
          <w:noProof w:val="0"/>
          <w:rtl/>
        </w:rPr>
        <w:t>,</w:t>
      </w:r>
      <w:r>
        <w:rPr>
          <w:rFonts w:ascii="Calibri" w:eastAsia="Calibri" w:hAnsi="Calibri"/>
          <w:noProof w:val="0"/>
          <w:rtl/>
        </w:rPr>
        <w:t xml:space="preserve"> בחינה ראשונית האם המדובר ב"פרסום" בהתאם לקביעת החוק; </w:t>
      </w:r>
    </w:p>
    <w:p w:rsidR="004F54D7" w:rsidRDefault="004F54D7" w:rsidP="004F54D7">
      <w:pPr>
        <w:pStyle w:val="ad"/>
        <w:spacing w:line="360" w:lineRule="auto"/>
        <w:ind w:left="360"/>
        <w:jc w:val="both"/>
        <w:rPr>
          <w:rFonts w:ascii="Calibri" w:eastAsia="Calibri" w:hAnsi="Calibri"/>
          <w:noProof w:val="0"/>
          <w:rtl/>
        </w:rPr>
      </w:pPr>
      <w:r>
        <w:rPr>
          <w:rFonts w:ascii="Calibri" w:eastAsia="Calibri" w:hAnsi="Calibri"/>
          <w:b/>
          <w:bCs/>
          <w:i/>
          <w:iCs/>
          <w:noProof w:val="0"/>
          <w:rtl/>
        </w:rPr>
        <w:t>בשלב הבא</w:t>
      </w:r>
      <w:r>
        <w:rPr>
          <w:rFonts w:ascii="Calibri" w:eastAsia="Calibri" w:hAnsi="Calibri"/>
          <w:noProof w:val="0"/>
          <w:rtl/>
        </w:rPr>
        <w:t xml:space="preserve">, יש להמשיך ולבחון האם הפרסום מהווה "לשון הרע" עפ"י קביעות החוק, קרי: האם עסקינן בביטוי בגינו מטיל החוק חבות בהתאם לסעיפים 1-2 וכן בהתאם לתכלית החוק לעניין איזונים חוקתיים; </w:t>
      </w:r>
    </w:p>
    <w:p w:rsidR="004F54D7" w:rsidRDefault="004F54D7" w:rsidP="004F54D7">
      <w:pPr>
        <w:pStyle w:val="ad"/>
        <w:spacing w:line="360" w:lineRule="auto"/>
        <w:ind w:left="360"/>
        <w:jc w:val="both"/>
        <w:rPr>
          <w:rFonts w:ascii="Calibri" w:eastAsia="Calibri" w:hAnsi="Calibri"/>
          <w:noProof w:val="0"/>
          <w:rtl/>
        </w:rPr>
      </w:pPr>
      <w:r>
        <w:rPr>
          <w:rFonts w:ascii="Calibri" w:eastAsia="Calibri" w:hAnsi="Calibri"/>
          <w:b/>
          <w:bCs/>
          <w:i/>
          <w:iCs/>
          <w:noProof w:val="0"/>
          <w:rtl/>
        </w:rPr>
        <w:t>ככל והמענה לשלב השני חיובי</w:t>
      </w:r>
      <w:r>
        <w:rPr>
          <w:rFonts w:ascii="Calibri" w:eastAsia="Calibri" w:hAnsi="Calibri"/>
          <w:noProof w:val="0"/>
          <w:rtl/>
        </w:rPr>
        <w:t xml:space="preserve"> – יש לבחון דבר קיומן של הגנות מכוח החוק העומדות  לנתבע מכוח סעיפים 13-15;</w:t>
      </w:r>
    </w:p>
    <w:p w:rsidR="004F54D7" w:rsidRDefault="004F54D7" w:rsidP="004F54D7">
      <w:pPr>
        <w:pStyle w:val="ad"/>
        <w:spacing w:line="360" w:lineRule="auto"/>
        <w:ind w:left="360"/>
        <w:jc w:val="both"/>
        <w:rPr>
          <w:rFonts w:ascii="David" w:hAnsi="David"/>
          <w:noProof w:val="0"/>
          <w:rtl/>
        </w:rPr>
      </w:pPr>
      <w:r>
        <w:rPr>
          <w:rFonts w:ascii="Calibri" w:eastAsia="Calibri" w:hAnsi="Calibri"/>
          <w:b/>
          <w:bCs/>
          <w:i/>
          <w:iCs/>
          <w:noProof w:val="0"/>
          <w:rtl/>
        </w:rPr>
        <w:t>בהעדר הגנה ומשנקבעה החבות</w:t>
      </w:r>
      <w:r>
        <w:rPr>
          <w:rFonts w:ascii="Calibri" w:eastAsia="Calibri" w:hAnsi="Calibri"/>
          <w:noProof w:val="0"/>
          <w:rtl/>
        </w:rPr>
        <w:t xml:space="preserve"> – יש להידרש לסוגיית הפיצויים שיושתו על הנתבע (ר' </w:t>
      </w:r>
      <w:r>
        <w:rPr>
          <w:rFonts w:ascii="Arial" w:hAnsi="Arial"/>
          <w:rtl/>
        </w:rPr>
        <w:t xml:space="preserve">ע"א 7380/06 </w:t>
      </w:r>
      <w:r>
        <w:rPr>
          <w:rFonts w:ascii="Arial" w:hAnsi="Arial"/>
          <w:b/>
          <w:bCs/>
          <w:rtl/>
        </w:rPr>
        <w:t>חטר-ישי נ' גילת ואח'</w:t>
      </w:r>
      <w:r>
        <w:rPr>
          <w:rFonts w:ascii="Arial" w:hAnsi="Arial"/>
          <w:rtl/>
        </w:rPr>
        <w:t xml:space="preserve"> (פורסם במאגרים האלקטרוניים, 2.3.11, סעיף 37 לפסה"ד של כב' הנשיאה (כתוארה אז) מ' נאור;</w:t>
      </w:r>
      <w:r>
        <w:rPr>
          <w:rFonts w:ascii="David" w:hAnsi="David"/>
          <w:noProof w:val="0"/>
          <w:rtl/>
        </w:rPr>
        <w:t xml:space="preserve"> ע"א 6903/12 </w:t>
      </w:r>
      <w:r>
        <w:rPr>
          <w:rFonts w:ascii="David" w:hAnsi="David"/>
          <w:b/>
          <w:bCs/>
          <w:noProof w:val="0"/>
          <w:sz w:val="22"/>
          <w:szCs w:val="22"/>
        </w:rPr>
        <w:t>Global Communications Crop</w:t>
      </w:r>
      <w:r>
        <w:rPr>
          <w:rFonts w:ascii="David" w:hAnsi="David"/>
          <w:b/>
          <w:bCs/>
          <w:noProof w:val="0"/>
          <w:rtl/>
        </w:rPr>
        <w:t xml:space="preserve"> נ. אלי עזור </w:t>
      </w:r>
      <w:r>
        <w:rPr>
          <w:rFonts w:ascii="David" w:hAnsi="David"/>
          <w:noProof w:val="0"/>
          <w:sz w:val="22"/>
          <w:rtl/>
        </w:rPr>
        <w:t>(פורסם במאגרים האלקטרוניים, סעיף 19 לפסה"ד של כב' השופט ע' פוגלמן</w:t>
      </w:r>
      <w:r>
        <w:rPr>
          <w:rFonts w:ascii="David" w:hAnsi="David"/>
          <w:noProof w:val="0"/>
          <w:rtl/>
        </w:rPr>
        <w:t>, 22.7.15)).</w:t>
      </w:r>
    </w:p>
    <w:p w:rsidR="004F54D7" w:rsidRDefault="004F54D7" w:rsidP="004F54D7">
      <w:pPr>
        <w:pStyle w:val="ad"/>
        <w:spacing w:line="360" w:lineRule="auto"/>
        <w:ind w:left="360"/>
        <w:jc w:val="both"/>
        <w:rPr>
          <w:rFonts w:ascii="David" w:hAnsi="David"/>
          <w:noProof w:val="0"/>
        </w:rPr>
      </w:pPr>
    </w:p>
    <w:p w:rsidR="004F54D7" w:rsidRDefault="004F54D7" w:rsidP="004F54D7">
      <w:pPr>
        <w:pStyle w:val="ad"/>
        <w:numPr>
          <w:ilvl w:val="0"/>
          <w:numId w:val="1"/>
        </w:numPr>
        <w:spacing w:line="360" w:lineRule="auto"/>
        <w:jc w:val="both"/>
        <w:rPr>
          <w:rFonts w:ascii="David" w:hAnsi="David"/>
          <w:noProof w:val="0"/>
        </w:rPr>
      </w:pPr>
      <w:r>
        <w:rPr>
          <w:rFonts w:ascii="David" w:hAnsi="David"/>
          <w:noProof w:val="0"/>
          <w:rtl/>
        </w:rPr>
        <w:t xml:space="preserve">מקומם של הליכים מכוח חוק איסור לשון הרע, כחלק בלתי נפרד מהליכים נזיקיים אחרים, </w:t>
      </w:r>
      <w:r>
        <w:rPr>
          <w:rFonts w:ascii="David" w:hAnsi="David"/>
          <w:b/>
          <w:bCs/>
          <w:i/>
          <w:iCs/>
          <w:noProof w:val="0"/>
          <w:rtl/>
        </w:rPr>
        <w:t>אינו נפקד מסכסוכים הנדונים בערכאות המשפחה</w:t>
      </w:r>
      <w:r>
        <w:rPr>
          <w:rFonts w:ascii="David" w:hAnsi="David"/>
          <w:noProof w:val="0"/>
          <w:rtl/>
        </w:rPr>
        <w:t xml:space="preserve"> בין צדדים בעלי קרבה או זיקה משפחתית, בהתאם להגדרת החוק בנדון. </w:t>
      </w:r>
    </w:p>
    <w:p w:rsidR="004F54D7" w:rsidRDefault="004F54D7" w:rsidP="004F54D7">
      <w:pPr>
        <w:pStyle w:val="ad"/>
        <w:spacing w:line="360" w:lineRule="auto"/>
        <w:ind w:left="360"/>
        <w:jc w:val="both"/>
        <w:rPr>
          <w:rFonts w:ascii="David" w:hAnsi="David"/>
          <w:noProof w:val="0"/>
        </w:rPr>
      </w:pPr>
    </w:p>
    <w:p w:rsidR="004F54D7" w:rsidRDefault="004F54D7" w:rsidP="004F54D7">
      <w:pPr>
        <w:pStyle w:val="ad"/>
        <w:numPr>
          <w:ilvl w:val="0"/>
          <w:numId w:val="1"/>
        </w:numPr>
        <w:spacing w:line="360" w:lineRule="auto"/>
        <w:jc w:val="both"/>
        <w:rPr>
          <w:rFonts w:ascii="David" w:hAnsi="David"/>
          <w:noProof w:val="0"/>
        </w:rPr>
      </w:pPr>
      <w:r>
        <w:rPr>
          <w:rFonts w:ascii="David" w:hAnsi="David"/>
          <w:noProof w:val="0"/>
          <w:rtl/>
        </w:rPr>
        <w:lastRenderedPageBreak/>
        <w:t xml:space="preserve">ככלל, בפסיקה מעין זו ניכרת מגמה, לפיה </w:t>
      </w:r>
      <w:r>
        <w:rPr>
          <w:rFonts w:ascii="David" w:hAnsi="David"/>
          <w:b/>
          <w:bCs/>
          <w:noProof w:val="0"/>
          <w:rtl/>
        </w:rPr>
        <w:t xml:space="preserve">לפיה </w:t>
      </w:r>
      <w:r>
        <w:rPr>
          <w:rFonts w:ascii="David" w:hAnsi="David"/>
          <w:b/>
          <w:bCs/>
          <w:i/>
          <w:iCs/>
          <w:noProof w:val="0"/>
          <w:rtl/>
        </w:rPr>
        <w:t>אין מקום להרחבה יתרה של 'נוכחות נזיקית' בסכסוכי המשפחה</w:t>
      </w:r>
      <w:r>
        <w:rPr>
          <w:rFonts w:ascii="David" w:hAnsi="David"/>
          <w:b/>
          <w:bCs/>
          <w:noProof w:val="0"/>
          <w:rtl/>
        </w:rPr>
        <w:t xml:space="preserve">; </w:t>
      </w:r>
      <w:r>
        <w:rPr>
          <w:rFonts w:ascii="David" w:hAnsi="David"/>
          <w:noProof w:val="0"/>
          <w:rtl/>
        </w:rPr>
        <w:t>זאת תחת ההנחה בדבר היות האחרונים אכסניה שאינה טבעית למערכות יחסים בתוך המשפחה, בפרט לזוגי</w:t>
      </w:r>
      <w:r w:rsidR="007242A1">
        <w:rPr>
          <w:rFonts w:ascii="David" w:hAnsi="David" w:hint="cs"/>
          <w:noProof w:val="0"/>
          <w:rtl/>
        </w:rPr>
        <w:t>ו</w:t>
      </w:r>
      <w:r>
        <w:rPr>
          <w:rFonts w:ascii="David" w:hAnsi="David"/>
          <w:noProof w:val="0"/>
          <w:rtl/>
        </w:rPr>
        <w:t>ת מב</w:t>
      </w:r>
      <w:r w:rsidR="007242A1">
        <w:rPr>
          <w:rFonts w:ascii="David" w:hAnsi="David" w:hint="cs"/>
          <w:noProof w:val="0"/>
          <w:rtl/>
        </w:rPr>
        <w:t>י</w:t>
      </w:r>
      <w:r>
        <w:rPr>
          <w:rFonts w:ascii="David" w:hAnsi="David"/>
          <w:noProof w:val="0"/>
          <w:rtl/>
        </w:rPr>
        <w:t xml:space="preserve">ניהן. </w:t>
      </w:r>
    </w:p>
    <w:p w:rsidR="004F54D7" w:rsidRDefault="004F54D7" w:rsidP="004F54D7">
      <w:pPr>
        <w:pStyle w:val="ad"/>
        <w:rPr>
          <w:rFonts w:ascii="David" w:hAnsi="David"/>
          <w:noProof w:val="0"/>
        </w:rPr>
      </w:pPr>
    </w:p>
    <w:p w:rsidR="004F54D7" w:rsidRDefault="004F54D7" w:rsidP="004F54D7">
      <w:pPr>
        <w:pStyle w:val="ad"/>
        <w:numPr>
          <w:ilvl w:val="0"/>
          <w:numId w:val="1"/>
        </w:numPr>
        <w:spacing w:line="360" w:lineRule="auto"/>
        <w:jc w:val="both"/>
        <w:rPr>
          <w:rFonts w:ascii="David" w:hAnsi="David"/>
          <w:noProof w:val="0"/>
          <w:rtl/>
        </w:rPr>
      </w:pPr>
      <w:r>
        <w:rPr>
          <w:rFonts w:ascii="David" w:hAnsi="David"/>
          <w:noProof w:val="0"/>
          <w:rtl/>
        </w:rPr>
        <w:t>על ה</w:t>
      </w:r>
      <w:r>
        <w:rPr>
          <w:rFonts w:ascii="David" w:hAnsi="David"/>
          <w:b/>
          <w:bCs/>
          <w:noProof w:val="0"/>
          <w:rtl/>
        </w:rPr>
        <w:t>טעמים</w:t>
      </w:r>
      <w:r>
        <w:rPr>
          <w:rFonts w:ascii="David" w:hAnsi="David"/>
          <w:noProof w:val="0"/>
          <w:rtl/>
        </w:rPr>
        <w:t xml:space="preserve"> לכך נמנים, בין השאר, החשש מפני שימוש לרעה בהליכים והגשת תביעות סרק ע"י מי מבני המשפחה, וביתר שאת ע"י הצד שממון בידו; החשש מפני פגיעה בזכויות קטינים העלולים למצוא עצמם ככלי שבו עושים שימוש לרעה הוריהם או מי מהם, על מנת ליצור יתרונות דיוניים; החשש מפני הפגיעה במרקם החיים המשפחתי בעצם יצירת תווית של מעוול על מי מבני המשפחה; החשש מפני הצפת בתי המשפט בהליכים ועוד  (ר', למשל, סקירתו המעמיקה של כב' השופט ויצמן בסעיפים 25-33 בעמ"ש (מרכז) 56871-01-16 </w:t>
      </w:r>
      <w:r>
        <w:rPr>
          <w:rFonts w:ascii="David" w:hAnsi="David"/>
          <w:b/>
          <w:bCs/>
          <w:noProof w:val="0"/>
          <w:rtl/>
        </w:rPr>
        <w:t xml:space="preserve">מ.ז.כ נ' ע.ז.כ </w:t>
      </w:r>
      <w:r>
        <w:rPr>
          <w:rFonts w:ascii="David" w:hAnsi="David"/>
          <w:noProof w:val="0"/>
          <w:rtl/>
        </w:rPr>
        <w:t xml:space="preserve">(פורסם במאגרים האלקטרוניים, 28.2.17); סעיף 2 לפסה"ד של כב' השופטת וילנר בעמ"ש (חי') 33044-04-13 </w:t>
      </w:r>
      <w:r>
        <w:rPr>
          <w:rFonts w:ascii="David" w:hAnsi="David"/>
          <w:b/>
          <w:bCs/>
          <w:noProof w:val="0"/>
          <w:rtl/>
        </w:rPr>
        <w:t xml:space="preserve">נ.ר נ' א.א </w:t>
      </w:r>
      <w:r>
        <w:rPr>
          <w:rFonts w:ascii="David" w:hAnsi="David"/>
          <w:noProof w:val="0"/>
          <w:rtl/>
        </w:rPr>
        <w:t xml:space="preserve">(פורסם במאגרים האלקטרוניים, 16.2.14); עמ"ש (חי') 27629-10-19 </w:t>
      </w:r>
      <w:r>
        <w:rPr>
          <w:rFonts w:ascii="David" w:hAnsi="David"/>
          <w:b/>
          <w:bCs/>
          <w:noProof w:val="0"/>
          <w:rtl/>
        </w:rPr>
        <w:t xml:space="preserve">א' ג' נ' ב' ג' </w:t>
      </w:r>
      <w:r>
        <w:rPr>
          <w:rFonts w:ascii="David" w:hAnsi="David"/>
          <w:noProof w:val="0"/>
          <w:rtl/>
        </w:rPr>
        <w:t>(פורסם במאגרים האלקטרוניים, 20.8.20</w:t>
      </w:r>
      <w:r>
        <w:rPr>
          <w:rFonts w:ascii="David" w:hAnsi="David"/>
          <w:noProof w:val="0"/>
        </w:rPr>
        <w:t>((</w:t>
      </w:r>
      <w:r>
        <w:rPr>
          <w:rFonts w:ascii="David" w:hAnsi="David"/>
          <w:noProof w:val="0"/>
          <w:rtl/>
        </w:rPr>
        <w:t>.</w:t>
      </w:r>
    </w:p>
    <w:p w:rsidR="004F54D7" w:rsidRDefault="004F54D7" w:rsidP="004F54D7">
      <w:pPr>
        <w:pStyle w:val="ad"/>
        <w:rPr>
          <w:rFonts w:ascii="David" w:hAnsi="David"/>
          <w:noProof w:val="0"/>
        </w:rPr>
      </w:pPr>
    </w:p>
    <w:p w:rsidR="004F54D7" w:rsidRDefault="004F54D7" w:rsidP="004F54D7">
      <w:pPr>
        <w:pStyle w:val="ad"/>
        <w:numPr>
          <w:ilvl w:val="0"/>
          <w:numId w:val="1"/>
        </w:numPr>
        <w:spacing w:line="360" w:lineRule="auto"/>
        <w:jc w:val="both"/>
        <w:rPr>
          <w:rFonts w:ascii="David" w:hAnsi="David"/>
          <w:noProof w:val="0"/>
          <w:rtl/>
        </w:rPr>
      </w:pPr>
      <w:r>
        <w:rPr>
          <w:rFonts w:ascii="David" w:hAnsi="David"/>
          <w:noProof w:val="0"/>
          <w:rtl/>
        </w:rPr>
        <w:t xml:space="preserve">לצד זאת, ברי כי, </w:t>
      </w:r>
      <w:r>
        <w:rPr>
          <w:rFonts w:ascii="David" w:hAnsi="David"/>
          <w:b/>
          <w:bCs/>
          <w:i/>
          <w:iCs/>
          <w:noProof w:val="0"/>
          <w:rtl/>
        </w:rPr>
        <w:t>אין באמור לעיל כל כוונה להקים מחסום בלתי עביר בפני בירורם של הליכים נזיקיים בערכאת המשפחה</w:t>
      </w:r>
      <w:r>
        <w:rPr>
          <w:rFonts w:ascii="David" w:hAnsi="David"/>
          <w:noProof w:val="0"/>
          <w:rtl/>
        </w:rPr>
        <w:t>, אלא כדי להציב את</w:t>
      </w:r>
      <w:r>
        <w:rPr>
          <w:rFonts w:ascii="David" w:hAnsi="David"/>
          <w:b/>
          <w:bCs/>
          <w:i/>
          <w:iCs/>
          <w:noProof w:val="0"/>
          <w:rtl/>
        </w:rPr>
        <w:t xml:space="preserve"> הגבולות הנורמטיביים </w:t>
      </w:r>
      <w:r>
        <w:rPr>
          <w:rFonts w:ascii="David" w:hAnsi="David"/>
          <w:noProof w:val="0"/>
          <w:rtl/>
        </w:rPr>
        <w:t xml:space="preserve">הראויים לכך; </w:t>
      </w:r>
      <w:r>
        <w:rPr>
          <w:rFonts w:ascii="David" w:hAnsi="David"/>
          <w:noProof w:val="0"/>
          <w:u w:val="single"/>
          <w:rtl/>
        </w:rPr>
        <w:t>גבולות הנגזרים מסוג העוולה הנבחנת תחת נסיבותיו של כל סכסוך</w:t>
      </w:r>
      <w:r>
        <w:rPr>
          <w:rFonts w:ascii="David" w:hAnsi="David"/>
          <w:noProof w:val="0"/>
          <w:rtl/>
        </w:rPr>
        <w:t>; היטיב לתאר זאת כב' השופט ויצמן:</w:t>
      </w:r>
    </w:p>
    <w:p w:rsidR="004F54D7" w:rsidRDefault="004F54D7" w:rsidP="004F54D7">
      <w:pPr>
        <w:pStyle w:val="ad"/>
        <w:rPr>
          <w:rFonts w:ascii="David" w:hAnsi="David"/>
          <w:noProof w:val="0"/>
        </w:rPr>
      </w:pPr>
    </w:p>
    <w:p w:rsidR="004F54D7" w:rsidRDefault="004F54D7" w:rsidP="004F54D7">
      <w:pPr>
        <w:tabs>
          <w:tab w:val="left" w:pos="566"/>
          <w:tab w:val="left" w:pos="1106"/>
        </w:tabs>
        <w:spacing w:line="360" w:lineRule="auto"/>
        <w:ind w:left="566"/>
        <w:jc w:val="both"/>
        <w:rPr>
          <w:rFonts w:ascii="David" w:hAnsi="David"/>
          <w:b/>
          <w:bCs/>
          <w:rtl/>
        </w:rPr>
      </w:pPr>
      <w:r>
        <w:rPr>
          <w:rFonts w:ascii="David" w:hAnsi="David"/>
          <w:b/>
          <w:bCs/>
          <w:rtl/>
        </w:rPr>
        <w:t xml:space="preserve">"לדידנו הדרך הראויה של הכנסת דיני הנזיקין למרחב המשפחתי תהא אך ורק בקבלת תביעות שעניינן בעוולות הגורמות לנזק ישיר וברור לבן הזוג האחר – אלימות פיזית, אלימות מינית, אלימות נפשית מכוונת, סרבנות גט, גירושין שלא כחוק, לשון הרע וכיוצ"ב, זאת להבדיל מהתנהלות הנובעת מאופייו של בן הזוג המביאה את בן הזוג האחר לאכזבה מחיי הנישואין ולנזק נפשי העוקב לאכזבה זו. "  </w:t>
      </w:r>
      <w:r>
        <w:rPr>
          <w:rFonts w:ascii="David" w:hAnsi="David"/>
          <w:rtl/>
        </w:rPr>
        <w:t>(</w:t>
      </w:r>
      <w:r>
        <w:rPr>
          <w:rFonts w:ascii="David" w:hAnsi="David"/>
          <w:noProof w:val="0"/>
          <w:rtl/>
        </w:rPr>
        <w:t xml:space="preserve">עמ"ש (מרכז) 56871-01-16 </w:t>
      </w:r>
      <w:r>
        <w:rPr>
          <w:rFonts w:ascii="David" w:hAnsi="David"/>
          <w:b/>
          <w:bCs/>
          <w:noProof w:val="0"/>
          <w:rtl/>
        </w:rPr>
        <w:t xml:space="preserve">מ.ז.כ נ' ע.ז.כ, </w:t>
      </w:r>
      <w:r>
        <w:rPr>
          <w:rFonts w:ascii="David" w:hAnsi="David"/>
          <w:noProof w:val="0"/>
          <w:rtl/>
        </w:rPr>
        <w:t xml:space="preserve">(פורסם במאגרים האלקטרוניים, 28.2.17); עוד ר' את עמדת השופט רובינשטיין בהתייחס להכרה בשימוש בדיני הנזיקין כמכשיר ראוי בסכסוכי המשפחה וביתר שאת בנוגע </w:t>
      </w:r>
      <w:r>
        <w:rPr>
          <w:rFonts w:ascii="David" w:hAnsi="David"/>
          <w:i/>
          <w:iCs/>
          <w:noProof w:val="0"/>
          <w:rtl/>
        </w:rPr>
        <w:t>לאלימות במשפחה</w:t>
      </w:r>
      <w:r>
        <w:rPr>
          <w:rFonts w:ascii="David" w:hAnsi="David"/>
          <w:noProof w:val="0"/>
          <w:rtl/>
        </w:rPr>
        <w:t xml:space="preserve">, לרבות קריאה לבתי המשפט לענייני משפחה לעשות שימוש במכשיר הפיצוי המוגבר בנסיבות המתאימות, ר' בע"מ 7073/13 </w:t>
      </w:r>
      <w:r>
        <w:rPr>
          <w:rFonts w:ascii="David" w:hAnsi="David"/>
          <w:b/>
          <w:bCs/>
          <w:noProof w:val="0"/>
          <w:rtl/>
        </w:rPr>
        <w:t xml:space="preserve">פלונית נ' פלוני </w:t>
      </w:r>
      <w:r>
        <w:rPr>
          <w:rFonts w:ascii="David" w:hAnsi="David"/>
          <w:noProof w:val="0"/>
          <w:rtl/>
        </w:rPr>
        <w:t>(פורסם במאגרים האלקטרוניים, 31.12.13)</w:t>
      </w:r>
      <w:r>
        <w:rPr>
          <w:rFonts w:ascii="David" w:hAnsi="David"/>
          <w:rtl/>
        </w:rPr>
        <w:t>).</w:t>
      </w:r>
      <w:r>
        <w:rPr>
          <w:rFonts w:ascii="David" w:hAnsi="David"/>
          <w:b/>
          <w:bCs/>
          <w:rtl/>
        </w:rPr>
        <w:t xml:space="preserve"> </w:t>
      </w:r>
    </w:p>
    <w:p w:rsidR="004F54D7" w:rsidRDefault="004F54D7" w:rsidP="004F54D7">
      <w:pPr>
        <w:pStyle w:val="ad"/>
        <w:spacing w:line="360" w:lineRule="auto"/>
        <w:ind w:left="360"/>
        <w:jc w:val="both"/>
        <w:rPr>
          <w:rFonts w:ascii="David" w:hAnsi="David"/>
          <w:noProof w:val="0"/>
          <w:rtl/>
        </w:rPr>
      </w:pPr>
    </w:p>
    <w:p w:rsidR="004F54D7" w:rsidRDefault="004F54D7" w:rsidP="004F54D7">
      <w:pPr>
        <w:pStyle w:val="ad"/>
        <w:numPr>
          <w:ilvl w:val="0"/>
          <w:numId w:val="1"/>
        </w:numPr>
        <w:spacing w:line="360" w:lineRule="auto"/>
        <w:jc w:val="both"/>
        <w:rPr>
          <w:rFonts w:ascii="David" w:hAnsi="David"/>
          <w:noProof w:val="0"/>
        </w:rPr>
      </w:pPr>
      <w:r>
        <w:rPr>
          <w:rFonts w:ascii="David" w:hAnsi="David"/>
          <w:noProof w:val="0"/>
          <w:rtl/>
        </w:rPr>
        <w:t xml:space="preserve">תחת אותם גבולות נורמטיביים הוכרו מקרים שבהם </w:t>
      </w:r>
      <w:r>
        <w:rPr>
          <w:rFonts w:ascii="David" w:hAnsi="David"/>
          <w:b/>
          <w:bCs/>
          <w:noProof w:val="0"/>
          <w:rtl/>
        </w:rPr>
        <w:t>ראוי</w:t>
      </w:r>
      <w:r>
        <w:rPr>
          <w:rFonts w:ascii="David" w:hAnsi="David"/>
          <w:noProof w:val="0"/>
          <w:rtl/>
        </w:rPr>
        <w:t xml:space="preserve"> ליתן סעד בגין </w:t>
      </w:r>
      <w:r>
        <w:rPr>
          <w:rFonts w:ascii="David" w:hAnsi="David"/>
          <w:b/>
          <w:bCs/>
          <w:noProof w:val="0"/>
          <w:rtl/>
        </w:rPr>
        <w:t>לשון הרע</w:t>
      </w:r>
      <w:r>
        <w:rPr>
          <w:rFonts w:ascii="David" w:hAnsi="David"/>
          <w:noProof w:val="0"/>
          <w:rtl/>
        </w:rPr>
        <w:t xml:space="preserve"> </w:t>
      </w:r>
      <w:r>
        <w:rPr>
          <w:rFonts w:ascii="David" w:hAnsi="David"/>
          <w:b/>
          <w:bCs/>
          <w:noProof w:val="0"/>
          <w:rtl/>
        </w:rPr>
        <w:t>במישור היחסים הזוגי</w:t>
      </w:r>
      <w:r>
        <w:rPr>
          <w:rFonts w:ascii="David" w:hAnsi="David"/>
          <w:noProof w:val="0"/>
          <w:rtl/>
        </w:rPr>
        <w:t>, למשל, במקרים שבהם בולטים לעין מאפיינים נסיבתיים, כגון, שיטתיות, ריבוי מעשים ופגיעה במקורות עבודה ופרנסה:</w:t>
      </w:r>
    </w:p>
    <w:p w:rsidR="009D211A" w:rsidRDefault="009D211A" w:rsidP="009D211A">
      <w:pPr>
        <w:pStyle w:val="ad"/>
        <w:spacing w:line="360" w:lineRule="auto"/>
        <w:ind w:left="360"/>
        <w:jc w:val="both"/>
        <w:rPr>
          <w:rFonts w:ascii="David" w:hAnsi="David"/>
          <w:noProof w:val="0"/>
        </w:rPr>
      </w:pPr>
    </w:p>
    <w:p w:rsidR="004F54D7" w:rsidRDefault="004F54D7" w:rsidP="004F54D7">
      <w:pPr>
        <w:spacing w:line="360" w:lineRule="auto"/>
        <w:ind w:left="720"/>
        <w:jc w:val="both"/>
        <w:rPr>
          <w:noProof w:val="0"/>
        </w:rPr>
      </w:pPr>
      <w:r>
        <w:rPr>
          <w:b/>
          <w:bCs/>
          <w:noProof w:val="0"/>
          <w:rtl/>
        </w:rPr>
        <w:t xml:space="preserve">"...גם כענין שבמדיניות, אין לעודד צדדים לסכסוך משפחתי להגיש תביעות לשון הרע בגין כל ביטוי פוגע שנאמר על ידי הצד שכנגד, שאם לא כן, בתי המשפט לעניני משפחה יוצפו </w:t>
      </w:r>
      <w:r>
        <w:rPr>
          <w:b/>
          <w:bCs/>
          <w:noProof w:val="0"/>
          <w:rtl/>
        </w:rPr>
        <w:lastRenderedPageBreak/>
        <w:t xml:space="preserve">בתביעות לשון הרע לרוב. יחד עם זאת, לכלל הזה ישנם יוצאים מהכלל, ודומה כי המקרה הנוכחי הינו </w:t>
      </w:r>
      <w:r>
        <w:rPr>
          <w:b/>
          <w:bCs/>
          <w:noProof w:val="0"/>
          <w:u w:val="single"/>
          <w:rtl/>
        </w:rPr>
        <w:t>דוגמא מובהקת ליוצא מן הכלל</w:t>
      </w:r>
      <w:r>
        <w:rPr>
          <w:b/>
          <w:bCs/>
          <w:noProof w:val="0"/>
          <w:rtl/>
        </w:rPr>
        <w:t xml:space="preserve">. אין המדובר בפרסום אקראי ובלתי מכוון של לשון הרע מתוך סערת רגשות, שראוי לנהוג בסלחנות ביחס אליו, אלא במסכת שיטתית, עקבית ומרושעת של פרסומים, שכל תכליתם היתה [...] לפגוע במשיבה ובשמה הטוב בקרב בני משפחתה, חבריה וכן מעבידה. ריבוי המעשים ואופיים השיטתי מעיד כי היה מדובר במסע נקם ובתוכנית מוקדמת ומתוכננת מראש ובקפידה, שנועדה לפגוע במשיבה בכל המעגלים הקרובים אליה [...]  והחמור מכל, א(2) </w:t>
      </w:r>
      <w:r>
        <w:rPr>
          <w:b/>
          <w:bCs/>
          <w:noProof w:val="0"/>
          <w:u w:val="single"/>
          <w:rtl/>
        </w:rPr>
        <w:t>ניסה לפגוע במקום עבודתם של המשיבה</w:t>
      </w:r>
      <w:r>
        <w:rPr>
          <w:b/>
          <w:bCs/>
          <w:noProof w:val="0"/>
          <w:rtl/>
        </w:rPr>
        <w:t xml:space="preserve"> ושל אביה כדי לפגוע במטה לחמה ולהותירה ללא הכנסה</w:t>
      </w:r>
      <w:r>
        <w:rPr>
          <w:noProof w:val="0"/>
          <w:rtl/>
        </w:rPr>
        <w:t xml:space="preserve">" (עמ"ש (ת"א) 47311-10-13 </w:t>
      </w:r>
      <w:r>
        <w:rPr>
          <w:b/>
          <w:bCs/>
          <w:noProof w:val="0"/>
          <w:rtl/>
        </w:rPr>
        <w:t>פלונית נ' פלמונית</w:t>
      </w:r>
      <w:r>
        <w:rPr>
          <w:noProof w:val="0"/>
          <w:rtl/>
        </w:rPr>
        <w:t xml:space="preserve"> (פורסם במאגרים האלקטרוניים, 19.5.14), סעיף 65 לפסה"ד של השופט ברנר). </w:t>
      </w:r>
    </w:p>
    <w:p w:rsidR="007F4084" w:rsidRDefault="007F4084" w:rsidP="004F54D7">
      <w:pPr>
        <w:spacing w:after="120" w:line="360" w:lineRule="auto"/>
        <w:jc w:val="both"/>
        <w:rPr>
          <w:b/>
          <w:bCs/>
          <w:u w:val="single"/>
          <w:rtl/>
        </w:rPr>
      </w:pPr>
    </w:p>
    <w:p w:rsidR="004F54D7" w:rsidRDefault="00CE5231" w:rsidP="004F54D7">
      <w:pPr>
        <w:spacing w:after="120" w:line="360" w:lineRule="auto"/>
        <w:jc w:val="both"/>
        <w:rPr>
          <w:b/>
          <w:bCs/>
          <w:u w:val="single"/>
        </w:rPr>
      </w:pPr>
      <w:r>
        <w:rPr>
          <w:b/>
          <w:bCs/>
          <w:u w:val="single"/>
          <w:rtl/>
        </w:rPr>
        <w:t>וליישום בנסיבותנו</w:t>
      </w:r>
    </w:p>
    <w:p w:rsidR="004F54D7" w:rsidRPr="009D211A" w:rsidRDefault="004F54D7" w:rsidP="004F54D7">
      <w:pPr>
        <w:pStyle w:val="ad"/>
        <w:numPr>
          <w:ilvl w:val="0"/>
          <w:numId w:val="1"/>
        </w:numPr>
        <w:spacing w:after="120" w:line="360" w:lineRule="auto"/>
        <w:jc w:val="both"/>
        <w:rPr>
          <w:rFonts w:ascii="David" w:hAnsi="David"/>
          <w:sz w:val="20"/>
          <w:szCs w:val="20"/>
          <w:rtl/>
        </w:rPr>
      </w:pPr>
      <w:r w:rsidRPr="009D211A">
        <w:rPr>
          <w:rFonts w:ascii="David" w:hAnsi="David"/>
          <w:rtl/>
        </w:rPr>
        <w:t xml:space="preserve">בכתב התביעה פירטה האשה </w:t>
      </w:r>
      <w:r w:rsidRPr="009D211A">
        <w:rPr>
          <w:rFonts w:ascii="David" w:hAnsi="David"/>
          <w:b/>
          <w:bCs/>
          <w:i/>
          <w:iCs/>
          <w:rtl/>
        </w:rPr>
        <w:t>שורה של אירועים</w:t>
      </w:r>
      <w:r w:rsidRPr="009D211A">
        <w:rPr>
          <w:rFonts w:ascii="David" w:hAnsi="David"/>
          <w:rtl/>
        </w:rPr>
        <w:t xml:space="preserve"> שבהם נטען כי האיש דיבר לשון הרע אודותיה בפני בני משפחה, חברים ומכרים של בני הזוג; תוך ש</w:t>
      </w:r>
      <w:r w:rsidRPr="009D211A">
        <w:rPr>
          <w:rFonts w:ascii="David" w:hAnsi="David"/>
          <w:b/>
          <w:bCs/>
          <w:i/>
          <w:iCs/>
          <w:rtl/>
        </w:rPr>
        <w:t>מרביתם</w:t>
      </w:r>
      <w:r w:rsidRPr="009D211A">
        <w:rPr>
          <w:rFonts w:ascii="David" w:hAnsi="David"/>
          <w:rtl/>
        </w:rPr>
        <w:t xml:space="preserve"> התרחשו עקב </w:t>
      </w:r>
      <w:r w:rsidRPr="009D211A">
        <w:rPr>
          <w:rFonts w:ascii="David" w:hAnsi="David"/>
          <w:b/>
          <w:bCs/>
          <w:rtl/>
        </w:rPr>
        <w:t>פניות יזומות</w:t>
      </w:r>
      <w:r w:rsidRPr="009D211A">
        <w:rPr>
          <w:rFonts w:ascii="David" w:hAnsi="David"/>
          <w:rtl/>
        </w:rPr>
        <w:t xml:space="preserve"> </w:t>
      </w:r>
      <w:r w:rsidRPr="009D211A">
        <w:rPr>
          <w:rFonts w:ascii="David" w:hAnsi="David"/>
          <w:b/>
          <w:bCs/>
          <w:rtl/>
        </w:rPr>
        <w:t>ושיטתיות</w:t>
      </w:r>
      <w:r w:rsidRPr="009D211A">
        <w:rPr>
          <w:rFonts w:ascii="David" w:hAnsi="David"/>
          <w:rtl/>
        </w:rPr>
        <w:t xml:space="preserve"> של האיש</w:t>
      </w:r>
      <w:r w:rsidRPr="009D211A">
        <w:rPr>
          <w:rFonts w:ascii="David" w:hAnsi="David"/>
          <w:b/>
          <w:bCs/>
          <w:rtl/>
        </w:rPr>
        <w:t xml:space="preserve"> </w:t>
      </w:r>
      <w:r w:rsidRPr="009D211A">
        <w:rPr>
          <w:rFonts w:ascii="David" w:hAnsi="David"/>
          <w:rtl/>
        </w:rPr>
        <w:t>לאותם גורמים, לרבות למקום עבודתה  ו</w:t>
      </w:r>
      <w:r w:rsidRPr="009D211A">
        <w:rPr>
          <w:rFonts w:ascii="David" w:hAnsi="David"/>
          <w:b/>
          <w:bCs/>
          <w:i/>
          <w:iCs/>
          <w:rtl/>
        </w:rPr>
        <w:t>חלקם</w:t>
      </w:r>
      <w:r w:rsidRPr="009D211A">
        <w:rPr>
          <w:rFonts w:ascii="David" w:hAnsi="David"/>
          <w:rtl/>
        </w:rPr>
        <w:t xml:space="preserve"> היו תרחישים ספונטניים שבהם דיבר סרה על האשה. הדברים נאמרו בעל פה ע"י האיש לאדם ששמע מפיו. </w:t>
      </w:r>
    </w:p>
    <w:p w:rsidR="004F54D7" w:rsidRDefault="004F54D7" w:rsidP="004F54D7">
      <w:pPr>
        <w:pStyle w:val="ad"/>
        <w:spacing w:after="120" w:line="360" w:lineRule="auto"/>
        <w:ind w:left="360"/>
        <w:jc w:val="both"/>
        <w:rPr>
          <w:rFonts w:cs="Guttman Yad-Brush"/>
          <w:sz w:val="20"/>
          <w:szCs w:val="20"/>
          <w:highlight w:val="yellow"/>
        </w:rPr>
      </w:pPr>
    </w:p>
    <w:p w:rsidR="004F54D7" w:rsidRDefault="004F54D7" w:rsidP="004F54D7">
      <w:pPr>
        <w:pStyle w:val="ad"/>
        <w:numPr>
          <w:ilvl w:val="0"/>
          <w:numId w:val="1"/>
        </w:numPr>
        <w:spacing w:after="120" w:line="360" w:lineRule="auto"/>
        <w:jc w:val="both"/>
        <w:rPr>
          <w:rtl/>
        </w:rPr>
      </w:pPr>
      <w:r>
        <w:rPr>
          <w:u w:val="single"/>
          <w:rtl/>
        </w:rPr>
        <w:t xml:space="preserve">הפניות היו </w:t>
      </w:r>
      <w:r>
        <w:rPr>
          <w:i/>
          <w:iCs/>
          <w:u w:val="single"/>
          <w:rtl/>
        </w:rPr>
        <w:t>חוזרות נשנות</w:t>
      </w:r>
      <w:r>
        <w:rPr>
          <w:u w:val="single"/>
          <w:rtl/>
        </w:rPr>
        <w:t xml:space="preserve"> והן נעשו במספר מעגלים</w:t>
      </w:r>
      <w:r>
        <w:rPr>
          <w:rtl/>
        </w:rPr>
        <w:t>; הראשון, ב</w:t>
      </w:r>
      <w:r>
        <w:rPr>
          <w:i/>
          <w:iCs/>
          <w:rtl/>
        </w:rPr>
        <w:t xml:space="preserve">מעגל היחסים אותו ניתן לכנות משפחתי גרעיני </w:t>
      </w:r>
      <w:r>
        <w:rPr>
          <w:rtl/>
        </w:rPr>
        <w:t>– בין האיש לבין בנותיהם של הצדדים; השני, במעגל היחסים המשפחתי המורחב – בין האיש לבין שני חתניו ובינו לבין אחות האשה; השלישי ב</w:t>
      </w:r>
      <w:r>
        <w:rPr>
          <w:i/>
          <w:iCs/>
          <w:rtl/>
        </w:rPr>
        <w:t>מעגל היחסים החוץ משפחתי</w:t>
      </w:r>
      <w:r>
        <w:rPr>
          <w:rtl/>
        </w:rPr>
        <w:t xml:space="preserve"> – בין האיש לבין אנשים שונים, </w:t>
      </w:r>
      <w:r>
        <w:rPr>
          <w:b/>
          <w:bCs/>
          <w:i/>
          <w:iCs/>
          <w:rtl/>
        </w:rPr>
        <w:t>לרבות בזיקה למקום עבודת</w:t>
      </w:r>
      <w:r>
        <w:rPr>
          <w:rtl/>
        </w:rPr>
        <w:t xml:space="preserve"> </w:t>
      </w:r>
      <w:r>
        <w:rPr>
          <w:b/>
          <w:bCs/>
          <w:i/>
          <w:iCs/>
          <w:rtl/>
        </w:rPr>
        <w:t>האשה בבנק</w:t>
      </w:r>
      <w:r>
        <w:rPr>
          <w:rtl/>
        </w:rPr>
        <w:t>; ביניהם מנהל סניף הבנק בו עבדה, הנהלת הבנק, לקוחות של האשה בסניף הבנק בו עבדה וכן מכרים משותפים של הצדדים או מי מהם.</w:t>
      </w:r>
    </w:p>
    <w:p w:rsidR="004F54D7" w:rsidRDefault="004F54D7" w:rsidP="004F54D7">
      <w:pPr>
        <w:pStyle w:val="ad"/>
      </w:pPr>
    </w:p>
    <w:p w:rsidR="004F54D7" w:rsidRDefault="004F54D7" w:rsidP="00142B5B">
      <w:pPr>
        <w:pStyle w:val="ad"/>
        <w:numPr>
          <w:ilvl w:val="0"/>
          <w:numId w:val="1"/>
        </w:numPr>
        <w:spacing w:after="120" w:line="360" w:lineRule="auto"/>
        <w:jc w:val="both"/>
        <w:rPr>
          <w:rtl/>
        </w:rPr>
      </w:pPr>
      <w:r>
        <w:rPr>
          <w:rtl/>
        </w:rPr>
        <w:t xml:space="preserve">האיש שב וטען, כי האשה </w:t>
      </w:r>
      <w:r>
        <w:rPr>
          <w:b/>
          <w:bCs/>
          <w:rtl/>
        </w:rPr>
        <w:t>בוגדת</w:t>
      </w:r>
      <w:r>
        <w:rPr>
          <w:rtl/>
        </w:rPr>
        <w:t xml:space="preserve"> בו, לעיתים תוך ציון מפורשות, כי מנהלת יחסים עם מנהל ה</w:t>
      </w:r>
      <w:r w:rsidR="00142B5B">
        <w:rPr>
          <w:rFonts w:hint="cs"/>
          <w:rtl/>
        </w:rPr>
        <w:t>סניף</w:t>
      </w:r>
      <w:r>
        <w:rPr>
          <w:rtl/>
        </w:rPr>
        <w:t xml:space="preserve">, ולעיתים אף ייחס לה בנוסף התנהגות בלתי הולמת ושמות גנאי.  </w:t>
      </w:r>
    </w:p>
    <w:p w:rsidR="004F54D7" w:rsidRDefault="004F54D7" w:rsidP="004F54D7">
      <w:pPr>
        <w:pStyle w:val="ad"/>
      </w:pPr>
    </w:p>
    <w:p w:rsidR="004F54D7" w:rsidRDefault="004F54D7" w:rsidP="004F54D7">
      <w:pPr>
        <w:pStyle w:val="ad"/>
        <w:numPr>
          <w:ilvl w:val="0"/>
          <w:numId w:val="1"/>
        </w:numPr>
        <w:spacing w:after="120" w:line="360" w:lineRule="auto"/>
        <w:jc w:val="both"/>
        <w:rPr>
          <w:rtl/>
        </w:rPr>
      </w:pPr>
      <w:r>
        <w:rPr>
          <w:rtl/>
        </w:rPr>
        <w:t xml:space="preserve">אין חולק וכך הודה אף האיש, כי בלבו היו חשדות כבדים כנגד האשה בדבר בגידותיה בו לרבות עם מנהל הסניף בו עבדה; עוד הודה, כי פנה בעניין הן להנהלת הבנק בכתב, ואף פגש במנהל הסניף בו חשד. </w:t>
      </w:r>
    </w:p>
    <w:p w:rsidR="004F54D7" w:rsidRDefault="004F54D7" w:rsidP="004F54D7">
      <w:pPr>
        <w:pStyle w:val="ad"/>
      </w:pPr>
    </w:p>
    <w:p w:rsidR="004F54D7" w:rsidRDefault="004F54D7" w:rsidP="004F54D7">
      <w:pPr>
        <w:pStyle w:val="ad"/>
        <w:numPr>
          <w:ilvl w:val="0"/>
          <w:numId w:val="1"/>
        </w:numPr>
        <w:spacing w:after="120" w:line="360" w:lineRule="auto"/>
        <w:jc w:val="both"/>
      </w:pPr>
      <w:r>
        <w:rPr>
          <w:rtl/>
        </w:rPr>
        <w:lastRenderedPageBreak/>
        <w:t xml:space="preserve">בגין הפצת הדברים בידי האיש, עותרת המשיבה לחיובו מכוח חוק איסור לשון הרע בסך של 350,000 ₪, בצירוף הפגיעה בפרטיותה שנעשתה עת נטל האיש את הנייד האישי שלה, ממנו לקח בין היתר את פרטי אנשי הקשר ליצירת קשר טלפוני עם אנשים שונים, לרבות לקוחות הבנק בו עובדת האשה ואשר באוזניהם הוציא האיש דיבתה. לדידה יש לאסור על האיש להפיץ פרסומים המהווים לשון הרע כנגדה או פוגעים בפרטיותה. בסיכומיה טענה היא כי משהוכחה כוונת האיש לפגוע, הרי שיש לחייב אותו בגין הפגיעה בפרטיות בסך של 100,000 ₪. </w:t>
      </w:r>
    </w:p>
    <w:p w:rsidR="007267F1" w:rsidRDefault="007267F1" w:rsidP="007267F1">
      <w:pPr>
        <w:pStyle w:val="ad"/>
        <w:spacing w:after="120" w:line="360" w:lineRule="auto"/>
        <w:ind w:left="360"/>
        <w:jc w:val="both"/>
      </w:pPr>
    </w:p>
    <w:p w:rsidR="004F54D7" w:rsidRDefault="004F54D7" w:rsidP="007267F1">
      <w:pPr>
        <w:pStyle w:val="ad"/>
        <w:numPr>
          <w:ilvl w:val="0"/>
          <w:numId w:val="1"/>
        </w:numPr>
        <w:spacing w:after="120" w:line="360" w:lineRule="auto"/>
        <w:jc w:val="both"/>
      </w:pPr>
      <w:r>
        <w:rPr>
          <w:rtl/>
        </w:rPr>
        <w:t>האיש טען, כי יש לדחות את התביעה אשר הוגשה כאמצעי להפעלת לחץ בהמשך לתביעה לפסק דין הצהרתי שהוגשה מטעמו. לדידו במערכות יחסים בין בני זוג נאמרים לעיתים דברים קשים אשר אינם עולים כדי לשון הרע, כך עלבה בו האשה ואף הוא דיבר אליה בצורה קשה. האיש כפר בטענות האשה אודות האמירות שייחסה לו באוזני אנשים אחרים וכן טען כי העדים שהעידו מטעמה הינם אנשי שלומה ולקוחות של הבנק, מכאן כי אין לקבל את עדותם.</w:t>
      </w:r>
    </w:p>
    <w:p w:rsidR="004F54D7" w:rsidRDefault="004F54D7" w:rsidP="004F54D7">
      <w:pPr>
        <w:pStyle w:val="ad"/>
      </w:pPr>
    </w:p>
    <w:p w:rsidR="004F54D7" w:rsidRDefault="004F54D7" w:rsidP="007267F1">
      <w:pPr>
        <w:pStyle w:val="ad"/>
        <w:numPr>
          <w:ilvl w:val="0"/>
          <w:numId w:val="1"/>
        </w:numPr>
        <w:spacing w:after="120" w:line="360" w:lineRule="auto"/>
        <w:jc w:val="both"/>
        <w:rPr>
          <w:b/>
          <w:bCs/>
          <w:rtl/>
        </w:rPr>
      </w:pPr>
      <w:r>
        <w:rPr>
          <w:b/>
          <w:bCs/>
          <w:rtl/>
        </w:rPr>
        <w:t>לאחר שנדרשתי לניתוח כלל החומרים המצויים בהליך ונשמעו הצדדים ועדיהם לפניי, סבורני, כי לפי כל מבחן אובייקטיבי, סוג האמירות ותוכן הדברים שנאמרו המיוחסות לאיש, הינן אמירות פוגעניות, משפילות ואשר יש בהן משום הכתמת שמה הטוב של האשה ו</w:t>
      </w:r>
      <w:r w:rsidR="007267F1">
        <w:rPr>
          <w:rFonts w:hint="cs"/>
          <w:b/>
          <w:bCs/>
          <w:rtl/>
        </w:rPr>
        <w:t>פגיעה</w:t>
      </w:r>
      <w:r>
        <w:rPr>
          <w:b/>
          <w:bCs/>
          <w:rtl/>
        </w:rPr>
        <w:t xml:space="preserve"> </w:t>
      </w:r>
      <w:r w:rsidR="007267F1">
        <w:rPr>
          <w:rFonts w:hint="cs"/>
          <w:b/>
          <w:bCs/>
          <w:rtl/>
        </w:rPr>
        <w:t>בה וב</w:t>
      </w:r>
      <w:r>
        <w:rPr>
          <w:b/>
          <w:bCs/>
          <w:rtl/>
        </w:rPr>
        <w:t>חייה האישיים</w:t>
      </w:r>
      <w:r w:rsidR="007267F1">
        <w:rPr>
          <w:rFonts w:hint="cs"/>
          <w:b/>
          <w:bCs/>
          <w:rtl/>
        </w:rPr>
        <w:t>.</w:t>
      </w:r>
    </w:p>
    <w:p w:rsidR="004F54D7" w:rsidRDefault="004F54D7" w:rsidP="004F54D7">
      <w:pPr>
        <w:pStyle w:val="ad"/>
        <w:rPr>
          <w:b/>
          <w:bCs/>
        </w:rPr>
      </w:pPr>
    </w:p>
    <w:p w:rsidR="004F54D7" w:rsidRPr="007267F1" w:rsidRDefault="00255F3B" w:rsidP="004F54D7">
      <w:pPr>
        <w:pStyle w:val="ad"/>
        <w:spacing w:after="120" w:line="360" w:lineRule="auto"/>
        <w:ind w:left="360"/>
        <w:jc w:val="both"/>
        <w:rPr>
          <w:rtl/>
        </w:rPr>
      </w:pPr>
      <w:r>
        <w:rPr>
          <w:rFonts w:hint="cs"/>
          <w:rtl/>
        </w:rPr>
        <w:t>לאחר שאדרש לעדויות הצדדים והוכחותיהם, כפי שיידון בהרחבה להלן,</w:t>
      </w:r>
      <w:r w:rsidR="004F54D7" w:rsidRPr="007267F1">
        <w:rPr>
          <w:rtl/>
        </w:rPr>
        <w:t xml:space="preserve"> ברי, כי היה ואמצא שאכן נאמרו אמירות אלו ע"י האיש והן עולות כדי פרסום, כל שנותר לבדוק האם עומדת לאיש הגנה כלשהי מכוח חוק איסור לשון הרע, כדוגמת "אמת דיברתי (סעיף 14 לחוק); אשר לסיפא יודגש, כי האיש לא טען להתקיימות אחת מן ההגנות המנויות בחוקים שצוינו לעיל, בהתייחס לאמירות הפוגעניות שיוחסו לו, מלבד כפירתו בעצם האמירות.</w:t>
      </w:r>
    </w:p>
    <w:p w:rsidR="004F54D7" w:rsidRPr="007267F1" w:rsidRDefault="004F54D7" w:rsidP="004F54D7">
      <w:pPr>
        <w:pStyle w:val="ad"/>
      </w:pPr>
    </w:p>
    <w:p w:rsidR="004F54D7" w:rsidRPr="007267F1" w:rsidRDefault="004F54D7" w:rsidP="007267F1">
      <w:pPr>
        <w:spacing w:after="120" w:line="360" w:lineRule="auto"/>
        <w:jc w:val="both"/>
        <w:rPr>
          <w:b/>
          <w:bCs/>
          <w:u w:val="single"/>
          <w:rtl/>
        </w:rPr>
      </w:pPr>
      <w:r w:rsidRPr="007267F1">
        <w:rPr>
          <w:b/>
          <w:bCs/>
          <w:u w:val="single"/>
          <w:rtl/>
        </w:rPr>
        <w:t>העדויות שנשמעו</w:t>
      </w:r>
    </w:p>
    <w:p w:rsidR="004F54D7" w:rsidRDefault="004F54D7" w:rsidP="00D102B8">
      <w:pPr>
        <w:pStyle w:val="ad"/>
        <w:numPr>
          <w:ilvl w:val="0"/>
          <w:numId w:val="1"/>
        </w:numPr>
        <w:spacing w:after="120" w:line="360" w:lineRule="auto"/>
        <w:jc w:val="both"/>
        <w:rPr>
          <w:rtl/>
        </w:rPr>
      </w:pPr>
      <w:r>
        <w:rPr>
          <w:rtl/>
        </w:rPr>
        <w:t xml:space="preserve">לתיק המוצגים של האשה צורפו תצהירי עדים, שמביניהם הרלוונטיים לתביעה הנ"ל הינם תצהירי בני משפחה ומכרים של הצדדים: הבת </w:t>
      </w:r>
      <w:r w:rsidR="005D17B1">
        <w:rPr>
          <w:rFonts w:hint="cs"/>
          <w:rtl/>
        </w:rPr>
        <w:t>י'</w:t>
      </w:r>
      <w:r>
        <w:rPr>
          <w:rtl/>
        </w:rPr>
        <w:t xml:space="preserve">, הבת </w:t>
      </w:r>
      <w:r w:rsidR="00152346">
        <w:rPr>
          <w:rFonts w:hint="cs"/>
          <w:rtl/>
        </w:rPr>
        <w:t>ו'</w:t>
      </w:r>
      <w:r>
        <w:rPr>
          <w:rtl/>
        </w:rPr>
        <w:t xml:space="preserve">, מר </w:t>
      </w:r>
      <w:r w:rsidR="005D17B1">
        <w:rPr>
          <w:rFonts w:hint="cs"/>
          <w:rtl/>
        </w:rPr>
        <w:t>ל',</w:t>
      </w:r>
      <w:r>
        <w:rPr>
          <w:rtl/>
        </w:rPr>
        <w:t xml:space="preserve"> אחות האשה </w:t>
      </w:r>
      <w:r w:rsidR="005D17B1">
        <w:rPr>
          <w:rFonts w:hint="cs"/>
          <w:rtl/>
        </w:rPr>
        <w:t>הגב' ר'</w:t>
      </w:r>
      <w:r>
        <w:rPr>
          <w:rtl/>
        </w:rPr>
        <w:t xml:space="preserve">, הגב' </w:t>
      </w:r>
      <w:r w:rsidR="005D17B1">
        <w:rPr>
          <w:rFonts w:hint="cs"/>
          <w:rtl/>
        </w:rPr>
        <w:t>ע'</w:t>
      </w:r>
      <w:r>
        <w:rPr>
          <w:rtl/>
        </w:rPr>
        <w:t xml:space="preserve">, אחות האשה, הגב' </w:t>
      </w:r>
      <w:r w:rsidR="005D17B1">
        <w:rPr>
          <w:rFonts w:hint="cs"/>
          <w:rtl/>
        </w:rPr>
        <w:t>ש'</w:t>
      </w:r>
      <w:r>
        <w:rPr>
          <w:rtl/>
        </w:rPr>
        <w:t xml:space="preserve">, מר </w:t>
      </w:r>
      <w:r w:rsidR="008A2F56">
        <w:rPr>
          <w:rFonts w:hint="cs"/>
          <w:rtl/>
        </w:rPr>
        <w:t>ע'</w:t>
      </w:r>
      <w:r>
        <w:rPr>
          <w:rtl/>
        </w:rPr>
        <w:t xml:space="preserve">, החתן </w:t>
      </w:r>
      <w:r w:rsidR="008A2F56">
        <w:rPr>
          <w:rFonts w:hint="cs"/>
          <w:rtl/>
        </w:rPr>
        <w:t>ת'</w:t>
      </w:r>
      <w:r>
        <w:rPr>
          <w:rtl/>
        </w:rPr>
        <w:t xml:space="preserve">, החתן </w:t>
      </w:r>
      <w:r w:rsidR="008A2F56">
        <w:rPr>
          <w:rFonts w:hint="cs"/>
          <w:rtl/>
        </w:rPr>
        <w:t>כ'</w:t>
      </w:r>
      <w:r>
        <w:rPr>
          <w:rtl/>
        </w:rPr>
        <w:t xml:space="preserve">, ד"ר </w:t>
      </w:r>
      <w:r w:rsidR="00BB491B">
        <w:rPr>
          <w:rFonts w:hint="cs"/>
          <w:rtl/>
        </w:rPr>
        <w:t>ת</w:t>
      </w:r>
      <w:r w:rsidR="008A2F56">
        <w:rPr>
          <w:rFonts w:hint="cs"/>
          <w:rtl/>
        </w:rPr>
        <w:t>'</w:t>
      </w:r>
      <w:r>
        <w:rPr>
          <w:rtl/>
        </w:rPr>
        <w:t xml:space="preserve">. עוד זומן מטעם האשה, </w:t>
      </w:r>
      <w:r w:rsidR="008A2F56">
        <w:rPr>
          <w:rtl/>
        </w:rPr>
        <w:t xml:space="preserve">מנהל </w:t>
      </w:r>
      <w:r w:rsidR="008A2F56">
        <w:rPr>
          <w:rFonts w:hint="cs"/>
          <w:rtl/>
        </w:rPr>
        <w:t>ה</w:t>
      </w:r>
      <w:r w:rsidR="00D102B8">
        <w:rPr>
          <w:rFonts w:hint="cs"/>
          <w:rtl/>
        </w:rPr>
        <w:t>סניף</w:t>
      </w:r>
      <w:r>
        <w:rPr>
          <w:rtl/>
        </w:rPr>
        <w:t xml:space="preserve">, אשר לא הגיש תצהיר מטעמו. </w:t>
      </w:r>
    </w:p>
    <w:p w:rsidR="004F54D7" w:rsidRDefault="004F54D7" w:rsidP="004F54D7">
      <w:pPr>
        <w:pStyle w:val="ad"/>
        <w:spacing w:line="360" w:lineRule="auto"/>
        <w:ind w:left="357"/>
        <w:jc w:val="both"/>
      </w:pPr>
    </w:p>
    <w:p w:rsidR="004F54D7" w:rsidRDefault="004F54D7" w:rsidP="00255F3B">
      <w:pPr>
        <w:pStyle w:val="ad"/>
        <w:numPr>
          <w:ilvl w:val="0"/>
          <w:numId w:val="1"/>
        </w:numPr>
        <w:spacing w:line="360" w:lineRule="auto"/>
        <w:ind w:left="357" w:hanging="357"/>
        <w:jc w:val="both"/>
      </w:pPr>
      <w:r>
        <w:rPr>
          <w:rtl/>
        </w:rPr>
        <w:t xml:space="preserve">עתה אבחן את </w:t>
      </w:r>
      <w:r w:rsidR="00255F3B">
        <w:rPr>
          <w:rtl/>
        </w:rPr>
        <w:t xml:space="preserve">העדויות שהובאו מטעם האשה; עדים </w:t>
      </w:r>
      <w:r>
        <w:rPr>
          <w:rtl/>
        </w:rPr>
        <w:t xml:space="preserve">אשר נחקרו בדיוני ההוכחות שהתקיימו </w:t>
      </w:r>
      <w:r w:rsidR="00255F3B">
        <w:rPr>
          <w:rFonts w:hint="cs"/>
          <w:rtl/>
        </w:rPr>
        <w:t>ל</w:t>
      </w:r>
      <w:r>
        <w:rPr>
          <w:rtl/>
        </w:rPr>
        <w:t>פני, כפי שיפורט להלן</w:t>
      </w:r>
      <w:r w:rsidR="00CE5231">
        <w:rPr>
          <w:rFonts w:hint="cs"/>
          <w:rtl/>
        </w:rPr>
        <w:t>:</w:t>
      </w:r>
    </w:p>
    <w:p w:rsidR="004F54D7" w:rsidRDefault="004F54D7" w:rsidP="004F54D7">
      <w:pPr>
        <w:pStyle w:val="ad"/>
      </w:pPr>
    </w:p>
    <w:p w:rsidR="004F54D7" w:rsidRDefault="004F54D7" w:rsidP="00843A15">
      <w:pPr>
        <w:pStyle w:val="ad"/>
        <w:numPr>
          <w:ilvl w:val="0"/>
          <w:numId w:val="4"/>
        </w:numPr>
        <w:spacing w:line="360" w:lineRule="auto"/>
        <w:jc w:val="both"/>
        <w:rPr>
          <w:u w:val="single"/>
          <w:rtl/>
        </w:rPr>
      </w:pPr>
      <w:r>
        <w:rPr>
          <w:u w:val="single"/>
          <w:rtl/>
        </w:rPr>
        <w:t xml:space="preserve">העד מר </w:t>
      </w:r>
      <w:r w:rsidR="00843A15">
        <w:rPr>
          <w:rFonts w:hint="cs"/>
          <w:u w:val="single"/>
          <w:rtl/>
        </w:rPr>
        <w:t>ל'</w:t>
      </w:r>
      <w:r>
        <w:rPr>
          <w:u w:val="single"/>
          <w:rtl/>
        </w:rPr>
        <w:t>-</w:t>
      </w:r>
    </w:p>
    <w:p w:rsidR="004F54D7" w:rsidRDefault="004F54D7" w:rsidP="004F54D7">
      <w:pPr>
        <w:pStyle w:val="ad"/>
        <w:spacing w:line="360" w:lineRule="auto"/>
        <w:ind w:left="717"/>
        <w:jc w:val="both"/>
      </w:pPr>
      <w:r>
        <w:rPr>
          <w:rtl/>
        </w:rPr>
        <w:t>בתצהירו טען כי מכיר את האיש היכרות שטחית, הגיע אליו פעם למוסך. האיש יצר עמו קשר טלפוני, בשיחתם כינה את האשה</w:t>
      </w:r>
      <w:r>
        <w:rPr>
          <w:b/>
          <w:bCs/>
          <w:i/>
          <w:iCs/>
          <w:rtl/>
        </w:rPr>
        <w:t xml:space="preserve"> "זונה" </w:t>
      </w:r>
      <w:r>
        <w:rPr>
          <w:rtl/>
        </w:rPr>
        <w:t xml:space="preserve">וטען כי </w:t>
      </w:r>
      <w:r>
        <w:rPr>
          <w:b/>
          <w:bCs/>
          <w:i/>
          <w:iCs/>
          <w:rtl/>
        </w:rPr>
        <w:t>יש לו הוכחות שתפסו אותה בוגדת בו, עם מנהל הסניף</w:t>
      </w:r>
      <w:r>
        <w:rPr>
          <w:rtl/>
        </w:rPr>
        <w:t xml:space="preserve">. עוד הוסיף כנגדו, כי הוא חלק מהקנוניה. הוא בתגובה סיפר אחר כך לאשה את מה שאמר לו האיש. </w:t>
      </w:r>
    </w:p>
    <w:p w:rsidR="004F54D7" w:rsidRDefault="004F54D7" w:rsidP="00605D29">
      <w:pPr>
        <w:pStyle w:val="ad"/>
        <w:spacing w:line="360" w:lineRule="auto"/>
        <w:ind w:left="717"/>
        <w:jc w:val="both"/>
        <w:rPr>
          <w:rtl/>
        </w:rPr>
      </w:pPr>
      <w:r>
        <w:rPr>
          <w:rtl/>
        </w:rPr>
        <w:t xml:space="preserve">בחקירתו העיד כי הוא לקוח בבנק בו עובדת האשה; </w:t>
      </w:r>
      <w:r>
        <w:rPr>
          <w:b/>
          <w:bCs/>
          <w:i/>
          <w:iCs/>
          <w:rtl/>
        </w:rPr>
        <w:t>האיש התקשר אליו בעת ששהה עם אשתו ברכב והאשים אותו כי הוא מקיים יחסים עם האשה, עוד טען כי היא מקיימת יחסים עם מנהל ה</w:t>
      </w:r>
      <w:r w:rsidR="00605D29">
        <w:rPr>
          <w:rFonts w:hint="cs"/>
          <w:b/>
          <w:bCs/>
          <w:i/>
          <w:iCs/>
          <w:rtl/>
        </w:rPr>
        <w:t>סניף</w:t>
      </w:r>
      <w:r>
        <w:rPr>
          <w:b/>
          <w:bCs/>
          <w:i/>
          <w:iCs/>
          <w:rtl/>
        </w:rPr>
        <w:t xml:space="preserve"> ואנשים אחרים</w:t>
      </w:r>
      <w:r>
        <w:rPr>
          <w:rtl/>
        </w:rPr>
        <w:t xml:space="preserve"> (ראה בעמוד 206 לפרוט'). ציין כי שוחח עם האשה על כך והיא הסבירה לו שהאיש לקח את מספרי לקוחות הבנק מהנייד שלה והתקשר אליו (ראה בעמוד 216 לפרוט'). יצוין כי במהלך החקירה הפנה האיש שאלה כלפי העד בנוגע לשעון אשר לטענתו מר </w:t>
      </w:r>
      <w:r w:rsidR="00023534">
        <w:rPr>
          <w:rFonts w:hint="cs"/>
          <w:rtl/>
        </w:rPr>
        <w:t>ל'</w:t>
      </w:r>
      <w:r>
        <w:rPr>
          <w:rtl/>
        </w:rPr>
        <w:t xml:space="preserve"> רכש לאשה, ברם זה הראשון הכחיש את הנטען.  </w:t>
      </w:r>
    </w:p>
    <w:p w:rsidR="003058EB" w:rsidRDefault="003058EB" w:rsidP="003058EB">
      <w:pPr>
        <w:pStyle w:val="ad"/>
        <w:spacing w:line="360" w:lineRule="auto"/>
        <w:ind w:left="717"/>
        <w:jc w:val="both"/>
        <w:rPr>
          <w:rtl/>
        </w:rPr>
      </w:pPr>
    </w:p>
    <w:p w:rsidR="004F54D7" w:rsidRDefault="004F54D7" w:rsidP="00710B14">
      <w:pPr>
        <w:pStyle w:val="ad"/>
        <w:numPr>
          <w:ilvl w:val="0"/>
          <w:numId w:val="4"/>
        </w:numPr>
        <w:spacing w:line="360" w:lineRule="auto"/>
        <w:jc w:val="both"/>
        <w:rPr>
          <w:u w:val="single"/>
          <w:rtl/>
        </w:rPr>
      </w:pPr>
      <w:r>
        <w:rPr>
          <w:u w:val="single"/>
          <w:rtl/>
        </w:rPr>
        <w:t xml:space="preserve">העד, ד"ר </w:t>
      </w:r>
      <w:r w:rsidR="00710B14">
        <w:rPr>
          <w:rFonts w:hint="cs"/>
          <w:u w:val="single"/>
          <w:rtl/>
        </w:rPr>
        <w:t xml:space="preserve">ת' </w:t>
      </w:r>
      <w:r>
        <w:rPr>
          <w:u w:val="single"/>
          <w:rtl/>
        </w:rPr>
        <w:t>-</w:t>
      </w:r>
    </w:p>
    <w:p w:rsidR="004F54D7" w:rsidRDefault="004F54D7" w:rsidP="00677B69">
      <w:pPr>
        <w:pStyle w:val="ad"/>
        <w:spacing w:line="360" w:lineRule="auto"/>
        <w:ind w:left="717"/>
        <w:jc w:val="both"/>
      </w:pPr>
      <w:r>
        <w:rPr>
          <w:rtl/>
        </w:rPr>
        <w:t xml:space="preserve">בתצהירו טען כי יום אחד התקשר אליו האיש וטען כי </w:t>
      </w:r>
      <w:r>
        <w:rPr>
          <w:b/>
          <w:bCs/>
          <w:i/>
          <w:iCs/>
          <w:rtl/>
        </w:rPr>
        <w:t>הוא (העד) מחפה על האשה בזמן שהיא הולכת לקיים יחסים עם מנהל ה</w:t>
      </w:r>
      <w:r w:rsidR="00677B69">
        <w:rPr>
          <w:rFonts w:hint="cs"/>
          <w:b/>
          <w:bCs/>
          <w:i/>
          <w:iCs/>
          <w:rtl/>
        </w:rPr>
        <w:t>סניף</w:t>
      </w:r>
      <w:r>
        <w:rPr>
          <w:rtl/>
        </w:rPr>
        <w:t xml:space="preserve">. על אף שהעד הביע תמיהה באוזני האיש, הוא לא חדל מלומר את הדברים. בשל כך, סיים את השיחה עמו באומרו לאיש שלא יערב אותו בעניינים שלהם. </w:t>
      </w:r>
    </w:p>
    <w:p w:rsidR="004F54D7" w:rsidRDefault="004F54D7" w:rsidP="00677B69">
      <w:pPr>
        <w:pStyle w:val="ad"/>
        <w:spacing w:line="360" w:lineRule="auto"/>
        <w:ind w:left="717"/>
        <w:jc w:val="both"/>
        <w:rPr>
          <w:rtl/>
        </w:rPr>
      </w:pPr>
      <w:r>
        <w:rPr>
          <w:rtl/>
        </w:rPr>
        <w:t xml:space="preserve">בחקירתו העיד כי הינו לקוח בבנק, אך מקבל שירות מפקידה אחרת ולא מהאשה. מכיר את האיש ממרפאת השיניים כפציינט במרפאה וכך גם האשה מטופלת במרפאה (ראה בעמוד 219 לפרוט'). </w:t>
      </w:r>
      <w:r>
        <w:rPr>
          <w:b/>
          <w:bCs/>
          <w:i/>
          <w:iCs/>
          <w:rtl/>
        </w:rPr>
        <w:t>האיש טען כנגדו כי הוא מחפה על האשה, שטוענת כי היא מגיעה אליו לטיפולים, אך בעצם מקיימת יחסים עם מנהל ה</w:t>
      </w:r>
      <w:r w:rsidR="00677B69">
        <w:rPr>
          <w:rFonts w:hint="cs"/>
          <w:b/>
          <w:bCs/>
          <w:i/>
          <w:iCs/>
          <w:rtl/>
        </w:rPr>
        <w:t>סניף</w:t>
      </w:r>
      <w:r>
        <w:rPr>
          <w:rtl/>
        </w:rPr>
        <w:t xml:space="preserve"> (שם, בעמודים 221-222). </w:t>
      </w:r>
    </w:p>
    <w:p w:rsidR="004F54D7" w:rsidRDefault="004F54D7" w:rsidP="004F54D7">
      <w:pPr>
        <w:pStyle w:val="ad"/>
        <w:spacing w:line="360" w:lineRule="auto"/>
        <w:ind w:left="717"/>
        <w:jc w:val="both"/>
        <w:rPr>
          <w:rtl/>
        </w:rPr>
      </w:pPr>
    </w:p>
    <w:p w:rsidR="004F54D7" w:rsidRDefault="004F54D7" w:rsidP="001D3FD4">
      <w:pPr>
        <w:pStyle w:val="ad"/>
        <w:numPr>
          <w:ilvl w:val="0"/>
          <w:numId w:val="4"/>
        </w:numPr>
        <w:spacing w:line="360" w:lineRule="auto"/>
        <w:jc w:val="both"/>
        <w:rPr>
          <w:u w:val="single"/>
          <w:rtl/>
        </w:rPr>
      </w:pPr>
      <w:r>
        <w:rPr>
          <w:u w:val="single"/>
          <w:rtl/>
        </w:rPr>
        <w:t xml:space="preserve">העד, חתנם לשעבר של הצדדים, מר </w:t>
      </w:r>
      <w:r w:rsidR="001D3FD4">
        <w:rPr>
          <w:rFonts w:hint="cs"/>
          <w:u w:val="single"/>
          <w:rtl/>
        </w:rPr>
        <w:t xml:space="preserve">כ' </w:t>
      </w:r>
      <w:r>
        <w:rPr>
          <w:u w:val="single"/>
          <w:rtl/>
        </w:rPr>
        <w:t xml:space="preserve">- </w:t>
      </w:r>
    </w:p>
    <w:p w:rsidR="004F54D7" w:rsidRDefault="004F54D7" w:rsidP="004A07FB">
      <w:pPr>
        <w:pStyle w:val="ad"/>
        <w:spacing w:line="360" w:lineRule="auto"/>
        <w:ind w:left="717"/>
        <w:jc w:val="both"/>
      </w:pPr>
      <w:r>
        <w:rPr>
          <w:rtl/>
        </w:rPr>
        <w:t xml:space="preserve">בתצהירו טען כי בעת שהתארח בביתם של בני הזוג לארוחת חג, </w:t>
      </w:r>
      <w:r>
        <w:rPr>
          <w:b/>
          <w:bCs/>
          <w:i/>
          <w:iCs/>
          <w:rtl/>
        </w:rPr>
        <w:t xml:space="preserve">פנה אליו האיש פעמיים ואמר לו כי האשה מקיימת יחסים עם אחיינו, </w:t>
      </w:r>
      <w:r w:rsidR="004A07FB">
        <w:rPr>
          <w:rFonts w:hint="cs"/>
          <w:b/>
          <w:bCs/>
          <w:i/>
          <w:iCs/>
          <w:rtl/>
        </w:rPr>
        <w:t>__</w:t>
      </w:r>
      <w:r>
        <w:rPr>
          <w:b/>
          <w:bCs/>
          <w:i/>
          <w:iCs/>
          <w:rtl/>
        </w:rPr>
        <w:t>וכי הוא לא מאמין לה, למרות שהיא מכחישה זאת</w:t>
      </w:r>
      <w:r>
        <w:rPr>
          <w:rtl/>
        </w:rPr>
        <w:t xml:space="preserve">. </w:t>
      </w:r>
    </w:p>
    <w:p w:rsidR="004F54D7" w:rsidRDefault="004F54D7" w:rsidP="004F54D7">
      <w:pPr>
        <w:pStyle w:val="ad"/>
        <w:spacing w:line="360" w:lineRule="auto"/>
        <w:ind w:left="717"/>
        <w:jc w:val="both"/>
        <w:rPr>
          <w:rtl/>
        </w:rPr>
      </w:pPr>
      <w:r>
        <w:rPr>
          <w:rtl/>
        </w:rPr>
        <w:t xml:space="preserve">בחקירתו </w:t>
      </w:r>
      <w:r>
        <w:rPr>
          <w:b/>
          <w:bCs/>
          <w:i/>
          <w:iCs/>
          <w:rtl/>
        </w:rPr>
        <w:t>אישר את המצוין בתצהירו והוסיף כי העדיף שלא להתווכח עם האיש על הדברים שאמר באוזניו על האשה, על מנת שלא להרוס את אווירת החג</w:t>
      </w:r>
      <w:r>
        <w:rPr>
          <w:rtl/>
        </w:rPr>
        <w:t xml:space="preserve"> (ראה בעמוד 284). עוד ציין, כי הופתע למשמע הדברים ולא האמין למה שפירט באוזניו האיש, בהכירו את הנפשות הפועלות, לרבות האחיין של האיש שיוחס לו המעשה, שהיה בעת ההיא כבן גילה של בתם של הצדדים, בן 30 פלוס (ראה בעמוד 287, שורות 6-8 וגם בעמוד 289 לפרוט'). </w:t>
      </w:r>
    </w:p>
    <w:p w:rsidR="004F54D7" w:rsidRDefault="004F54D7" w:rsidP="004F54D7">
      <w:pPr>
        <w:pStyle w:val="ad"/>
        <w:spacing w:line="360" w:lineRule="auto"/>
        <w:ind w:left="717"/>
        <w:jc w:val="both"/>
        <w:rPr>
          <w:rtl/>
        </w:rPr>
      </w:pPr>
    </w:p>
    <w:p w:rsidR="004F54D7" w:rsidRDefault="004F54D7" w:rsidP="00BF5864">
      <w:pPr>
        <w:pStyle w:val="ad"/>
        <w:numPr>
          <w:ilvl w:val="0"/>
          <w:numId w:val="4"/>
        </w:numPr>
        <w:spacing w:line="360" w:lineRule="auto"/>
        <w:jc w:val="both"/>
        <w:rPr>
          <w:u w:val="single"/>
          <w:rtl/>
        </w:rPr>
      </w:pPr>
      <w:r>
        <w:rPr>
          <w:u w:val="single"/>
          <w:rtl/>
        </w:rPr>
        <w:lastRenderedPageBreak/>
        <w:t xml:space="preserve">העדה, אחות האשה, הגב' </w:t>
      </w:r>
      <w:r w:rsidR="00BF5864">
        <w:rPr>
          <w:rFonts w:hint="cs"/>
          <w:u w:val="single"/>
          <w:rtl/>
        </w:rPr>
        <w:t>ר'</w:t>
      </w:r>
      <w:r>
        <w:rPr>
          <w:u w:val="single"/>
          <w:rtl/>
        </w:rPr>
        <w:t xml:space="preserve">- </w:t>
      </w:r>
    </w:p>
    <w:p w:rsidR="004F54D7" w:rsidRDefault="004F54D7" w:rsidP="004F54D7">
      <w:pPr>
        <w:pStyle w:val="ad"/>
        <w:spacing w:line="360" w:lineRule="auto"/>
        <w:ind w:left="717"/>
        <w:jc w:val="both"/>
      </w:pPr>
      <w:r>
        <w:rPr>
          <w:rtl/>
        </w:rPr>
        <w:t xml:space="preserve">בתצהירה טענה, כי האיש </w:t>
      </w:r>
      <w:r>
        <w:rPr>
          <w:b/>
          <w:bCs/>
          <w:i/>
          <w:iCs/>
          <w:rtl/>
        </w:rPr>
        <w:t>התקשר אליה וסיפר לה כי האשה בוגדת בו עם כל מיני טיפוסים</w:t>
      </w:r>
      <w:r>
        <w:rPr>
          <w:rtl/>
        </w:rPr>
        <w:t xml:space="preserve">. היא בתגובה שללה את דבריו וטענה כנגדו כי הוא מספר בכל העיר את הדברים הללו על האשה. בחקירתה </w:t>
      </w:r>
      <w:r>
        <w:rPr>
          <w:b/>
          <w:bCs/>
          <w:i/>
          <w:iCs/>
          <w:rtl/>
        </w:rPr>
        <w:t>עלה כי היא מתגוררת באילת ולטענתה שמעה ממכרים ובני משפחה כי האיש מספר דברים אודות האשה</w:t>
      </w:r>
      <w:r>
        <w:rPr>
          <w:rtl/>
        </w:rPr>
        <w:t xml:space="preserve"> (ראה בעמוד 296 וכן בעמוד 299). </w:t>
      </w:r>
    </w:p>
    <w:p w:rsidR="004F54D7" w:rsidRDefault="004F54D7" w:rsidP="004F54D7">
      <w:pPr>
        <w:pStyle w:val="ad"/>
        <w:spacing w:line="360" w:lineRule="auto"/>
        <w:ind w:left="717"/>
        <w:jc w:val="both"/>
        <w:rPr>
          <w:rtl/>
        </w:rPr>
      </w:pPr>
    </w:p>
    <w:p w:rsidR="004F54D7" w:rsidRDefault="004F54D7" w:rsidP="00235180">
      <w:pPr>
        <w:pStyle w:val="ad"/>
        <w:numPr>
          <w:ilvl w:val="0"/>
          <w:numId w:val="4"/>
        </w:numPr>
        <w:spacing w:line="360" w:lineRule="auto"/>
        <w:jc w:val="both"/>
        <w:rPr>
          <w:u w:val="single"/>
          <w:rtl/>
        </w:rPr>
      </w:pPr>
      <w:r>
        <w:rPr>
          <w:u w:val="single"/>
          <w:rtl/>
        </w:rPr>
        <w:t>העד, מנהל סניף הבנק לשעבר בו עובדת האשה</w:t>
      </w:r>
      <w:r w:rsidR="00235180">
        <w:rPr>
          <w:u w:val="single"/>
          <w:rtl/>
        </w:rPr>
        <w:t xml:space="preserve"> </w:t>
      </w:r>
      <w:r>
        <w:rPr>
          <w:u w:val="single"/>
          <w:rtl/>
        </w:rPr>
        <w:t xml:space="preserve">- </w:t>
      </w:r>
    </w:p>
    <w:p w:rsidR="004F54D7" w:rsidRDefault="004F54D7" w:rsidP="004F54D7">
      <w:pPr>
        <w:pStyle w:val="ad"/>
        <w:spacing w:line="360" w:lineRule="auto"/>
        <w:ind w:left="717"/>
        <w:jc w:val="both"/>
      </w:pPr>
      <w:r>
        <w:rPr>
          <w:rtl/>
        </w:rPr>
        <w:t xml:space="preserve">בחקירתו אישר כי הוזמן לביתם של הצדדים, צוין לפניו כי האשה במצב לא טוב (ראה בעמודים 230-231 לפרוט' מיום 13.7.2020). כשהגיע ראה בבית את האיש, בתם של הצדדים ואת האשה שוכבת על הספה, מכוסה בשמיכה והייתה נראית לא בריאה (שם, בעמוד 233) והשיחה נסובה אודות מפגשי הגיבוש שנערכים בבנק ולא על סוגיות הנוגעות לבני הזוג (בשורות 4-6). העד טען בנחרצות כי לא היה קשר אינטימי בינו לבין האשה, אפילו לא לחיצת יד בשל היותה שומרת מסורת (בעמוד 236-237). </w:t>
      </w:r>
      <w:r>
        <w:rPr>
          <w:b/>
          <w:bCs/>
          <w:i/>
          <w:iCs/>
          <w:rtl/>
        </w:rPr>
        <w:t>העד ציין כי הייתה תקופה בה שמרו עליו באופן אישי, בעקבות הטרדות של האיש</w:t>
      </w:r>
      <w:r>
        <w:rPr>
          <w:rtl/>
        </w:rPr>
        <w:t xml:space="preserve"> (בשורות 5-6, בעמוד 237). הוסיף כי האיש הגיע לשוחח עמו בבנק והתלונן בפניו על מפגשי הגיבוש שנערכים ללא בני זוג. אישר כי הציע לבעל שיסיע את האשה ברכב יחד עם אנשים אחרים, לצורך חיסכון בעלויות דלק וכפי שנהגו לעשות (בעמוד 238). </w:t>
      </w:r>
    </w:p>
    <w:p w:rsidR="004F54D7" w:rsidRDefault="004F54D7" w:rsidP="004F54D7">
      <w:pPr>
        <w:pStyle w:val="ad"/>
        <w:spacing w:line="360" w:lineRule="auto"/>
        <w:ind w:left="717"/>
        <w:jc w:val="both"/>
        <w:rPr>
          <w:rtl/>
        </w:rPr>
      </w:pPr>
      <w:r>
        <w:rPr>
          <w:rtl/>
        </w:rPr>
        <w:t xml:space="preserve">בחקירתו החוזרת </w:t>
      </w:r>
      <w:r>
        <w:rPr>
          <w:b/>
          <w:bCs/>
          <w:i/>
          <w:iCs/>
          <w:rtl/>
        </w:rPr>
        <w:t>ציין העד כי לאחר הפגישה שנערכה בביתם של הצדדים, החל האיש להתקשר אליו ולהטריד אותו, גם את אשתו, העלה בפניו האשמות כי הוא מקיים יחסים עם האשה ומנהל איתה רומן</w:t>
      </w:r>
      <w:r>
        <w:rPr>
          <w:rtl/>
        </w:rPr>
        <w:t xml:space="preserve"> (בעמוד 243). בשל כך, </w:t>
      </w:r>
      <w:r>
        <w:rPr>
          <w:b/>
          <w:bCs/>
          <w:i/>
          <w:iCs/>
          <w:rtl/>
        </w:rPr>
        <w:t>נאלץ להגיש תלונה במשטרה כנגדו ואף להזהירו באמצעות עו"ד כי מדובר בלשון הרע</w:t>
      </w:r>
      <w:r>
        <w:rPr>
          <w:rtl/>
        </w:rPr>
        <w:t xml:space="preserve">. אחר-כך נודע לו </w:t>
      </w:r>
      <w:r>
        <w:rPr>
          <w:b/>
          <w:bCs/>
          <w:i/>
          <w:iCs/>
          <w:rtl/>
        </w:rPr>
        <w:t>שהאיש התלונן בפני הנהלת הבנק ואף פנה לעובדי הבנק וללקוחות הבנק וסיפר להם דברים דומים</w:t>
      </w:r>
      <w:r>
        <w:rPr>
          <w:rtl/>
        </w:rPr>
        <w:t xml:space="preserve"> (שם בעמוד 242). </w:t>
      </w:r>
    </w:p>
    <w:p w:rsidR="004F54D7" w:rsidRDefault="004F54D7" w:rsidP="004F54D7">
      <w:pPr>
        <w:pStyle w:val="ad"/>
        <w:spacing w:line="360" w:lineRule="auto"/>
        <w:ind w:left="717"/>
        <w:jc w:val="both"/>
        <w:rPr>
          <w:rtl/>
        </w:rPr>
      </w:pPr>
    </w:p>
    <w:p w:rsidR="004F54D7" w:rsidRDefault="004F54D7" w:rsidP="001D3FD4">
      <w:pPr>
        <w:pStyle w:val="ad"/>
        <w:numPr>
          <w:ilvl w:val="0"/>
          <w:numId w:val="4"/>
        </w:numPr>
        <w:spacing w:line="360" w:lineRule="auto"/>
        <w:jc w:val="both"/>
        <w:rPr>
          <w:u w:val="single"/>
          <w:rtl/>
        </w:rPr>
      </w:pPr>
      <w:r>
        <w:rPr>
          <w:u w:val="single"/>
          <w:rtl/>
        </w:rPr>
        <w:t xml:space="preserve">העד, מר </w:t>
      </w:r>
      <w:r w:rsidR="001D3FD4">
        <w:rPr>
          <w:rFonts w:hint="cs"/>
          <w:u w:val="single"/>
          <w:rtl/>
        </w:rPr>
        <w:t xml:space="preserve">ע' </w:t>
      </w:r>
      <w:r>
        <w:rPr>
          <w:u w:val="single"/>
          <w:rtl/>
        </w:rPr>
        <w:t xml:space="preserve">- </w:t>
      </w:r>
    </w:p>
    <w:p w:rsidR="004F54D7" w:rsidRDefault="004F54D7" w:rsidP="00B519FA">
      <w:pPr>
        <w:pStyle w:val="ad"/>
        <w:spacing w:line="360" w:lineRule="auto"/>
        <w:ind w:left="717"/>
        <w:jc w:val="both"/>
      </w:pPr>
      <w:r>
        <w:rPr>
          <w:rtl/>
        </w:rPr>
        <w:t xml:space="preserve">בתצהירו טען כי מכיר את האיש מבית הספר היסודי, הוא התקשר אליו מספר פעמים ואמר לו כי </w:t>
      </w:r>
      <w:r>
        <w:rPr>
          <w:b/>
          <w:bCs/>
          <w:i/>
          <w:iCs/>
          <w:rtl/>
        </w:rPr>
        <w:t>האשה מקיימת יחסים עם מנהל ה</w:t>
      </w:r>
      <w:r w:rsidR="00B519FA">
        <w:rPr>
          <w:rFonts w:hint="cs"/>
          <w:b/>
          <w:bCs/>
          <w:i/>
          <w:iCs/>
          <w:rtl/>
        </w:rPr>
        <w:t>סניף</w:t>
      </w:r>
      <w:r>
        <w:rPr>
          <w:b/>
          <w:bCs/>
          <w:i/>
          <w:iCs/>
          <w:rtl/>
        </w:rPr>
        <w:t xml:space="preserve"> שכעת הוא בן זוגה, כך שהוא יכול לבקש כל מה שהוא רוצה מהבנק ויאשרו לו. </w:t>
      </w:r>
    </w:p>
    <w:p w:rsidR="004F54D7" w:rsidRDefault="004F54D7" w:rsidP="00B519FA">
      <w:pPr>
        <w:pStyle w:val="ad"/>
        <w:spacing w:line="360" w:lineRule="auto"/>
        <w:ind w:left="717"/>
        <w:jc w:val="both"/>
        <w:rPr>
          <w:rtl/>
        </w:rPr>
      </w:pPr>
      <w:r>
        <w:rPr>
          <w:rtl/>
        </w:rPr>
        <w:t>בחקירתו ציין כי הוא לקוח וותיק בבנק בו עובדת האשה, אינו בקשרי חברות עם הצדדים. האיש טען באוזניו כי האשה מקיימת יחסים עם מנהל ה</w:t>
      </w:r>
      <w:r w:rsidR="00B519FA">
        <w:rPr>
          <w:rFonts w:hint="cs"/>
          <w:rtl/>
        </w:rPr>
        <w:t>סניף</w:t>
      </w:r>
      <w:r>
        <w:rPr>
          <w:rtl/>
        </w:rPr>
        <w:t xml:space="preserve"> (ראה בעמוד 254).</w:t>
      </w:r>
    </w:p>
    <w:p w:rsidR="004F54D7" w:rsidRDefault="004F54D7" w:rsidP="004F54D7">
      <w:pPr>
        <w:pStyle w:val="ad"/>
        <w:spacing w:line="360" w:lineRule="auto"/>
        <w:ind w:left="717"/>
        <w:jc w:val="both"/>
        <w:rPr>
          <w:u w:val="single"/>
          <w:rtl/>
        </w:rPr>
      </w:pPr>
    </w:p>
    <w:p w:rsidR="00DB646A" w:rsidRDefault="00DB646A" w:rsidP="004F54D7">
      <w:pPr>
        <w:pStyle w:val="ad"/>
        <w:spacing w:line="360" w:lineRule="auto"/>
        <w:ind w:left="717"/>
        <w:jc w:val="both"/>
        <w:rPr>
          <w:u w:val="single"/>
          <w:rtl/>
        </w:rPr>
      </w:pPr>
    </w:p>
    <w:p w:rsidR="00DB646A" w:rsidRDefault="00DB646A" w:rsidP="004F54D7">
      <w:pPr>
        <w:pStyle w:val="ad"/>
        <w:spacing w:line="360" w:lineRule="auto"/>
        <w:ind w:left="717"/>
        <w:jc w:val="both"/>
        <w:rPr>
          <w:u w:val="single"/>
          <w:rtl/>
        </w:rPr>
      </w:pPr>
    </w:p>
    <w:p w:rsidR="004F54D7" w:rsidRDefault="004F54D7" w:rsidP="001D3FD4">
      <w:pPr>
        <w:pStyle w:val="ad"/>
        <w:numPr>
          <w:ilvl w:val="0"/>
          <w:numId w:val="4"/>
        </w:numPr>
        <w:spacing w:line="360" w:lineRule="auto"/>
        <w:jc w:val="both"/>
        <w:rPr>
          <w:u w:val="single"/>
          <w:rtl/>
        </w:rPr>
      </w:pPr>
      <w:r>
        <w:rPr>
          <w:u w:val="single"/>
          <w:rtl/>
        </w:rPr>
        <w:lastRenderedPageBreak/>
        <w:t xml:space="preserve">העד, מר </w:t>
      </w:r>
      <w:r w:rsidR="001D3FD4">
        <w:rPr>
          <w:rFonts w:hint="cs"/>
          <w:u w:val="single"/>
          <w:rtl/>
        </w:rPr>
        <w:t>ד'</w:t>
      </w:r>
      <w:r>
        <w:rPr>
          <w:u w:val="single"/>
          <w:rtl/>
        </w:rPr>
        <w:t>-</w:t>
      </w:r>
    </w:p>
    <w:p w:rsidR="004F54D7" w:rsidRDefault="004F54D7" w:rsidP="00B626FB">
      <w:pPr>
        <w:pStyle w:val="ad"/>
        <w:spacing w:line="360" w:lineRule="auto"/>
        <w:ind w:left="717"/>
        <w:jc w:val="both"/>
      </w:pPr>
      <w:r>
        <w:rPr>
          <w:rtl/>
        </w:rPr>
        <w:t xml:space="preserve">בתצהירו </w:t>
      </w:r>
      <w:r>
        <w:rPr>
          <w:rFonts w:ascii="David" w:hAnsi="David"/>
          <w:rtl/>
        </w:rPr>
        <w:t>אשר צורף לתיק ביום 18.9.2019</w:t>
      </w:r>
      <w:r>
        <w:rPr>
          <w:rtl/>
        </w:rPr>
        <w:t xml:space="preserve"> טען כי </w:t>
      </w:r>
      <w:r>
        <w:rPr>
          <w:b/>
          <w:bCs/>
          <w:i/>
          <w:iCs/>
          <w:rtl/>
        </w:rPr>
        <w:t xml:space="preserve">האיש אמר שהאשה בוגדת בו עם אנשים </w:t>
      </w:r>
      <w:r w:rsidR="00F40365">
        <w:rPr>
          <w:rFonts w:hint="cs"/>
          <w:b/>
          <w:bCs/>
          <w:i/>
          <w:iCs/>
          <w:rtl/>
        </w:rPr>
        <w:t>מ</w:t>
      </w:r>
      <w:r w:rsidR="00B626FB">
        <w:rPr>
          <w:rFonts w:hint="cs"/>
          <w:b/>
          <w:bCs/>
          <w:i/>
          <w:iCs/>
          <w:rtl/>
        </w:rPr>
        <w:t xml:space="preserve">העיר </w:t>
      </w:r>
      <w:r w:rsidR="00B626FB">
        <w:rPr>
          <w:b/>
          <w:bCs/>
          <w:i/>
          <w:iCs/>
        </w:rPr>
        <w:t>m</w:t>
      </w:r>
      <w:r>
        <w:rPr>
          <w:b/>
          <w:bCs/>
          <w:i/>
          <w:iCs/>
          <w:rtl/>
        </w:rPr>
        <w:t xml:space="preserve">, כולל עם מנהל סניף הבנק שלה, </w:t>
      </w:r>
      <w:r>
        <w:rPr>
          <w:rtl/>
        </w:rPr>
        <w:t xml:space="preserve">שהיה מפגש חברתי של הבנק והוא חושד שמדובר ברומן קבוע. </w:t>
      </w:r>
      <w:r>
        <w:rPr>
          <w:b/>
          <w:bCs/>
          <w:i/>
          <w:iCs/>
          <w:rtl/>
        </w:rPr>
        <w:t xml:space="preserve">אנשים ראו את האשה יוצאת מחדרי אירוח </w:t>
      </w:r>
      <w:r>
        <w:rPr>
          <w:b/>
          <w:bCs/>
          <w:i/>
          <w:iCs/>
        </w:rPr>
        <w:t>Dayuse</w:t>
      </w:r>
      <w:r>
        <w:rPr>
          <w:b/>
          <w:bCs/>
          <w:i/>
          <w:iCs/>
          <w:rtl/>
        </w:rPr>
        <w:t xml:space="preserve"> ב</w:t>
      </w:r>
      <w:r w:rsidR="00B626FB">
        <w:rPr>
          <w:rFonts w:hint="cs"/>
          <w:b/>
          <w:bCs/>
          <w:i/>
          <w:iCs/>
          <w:rtl/>
        </w:rPr>
        <w:t xml:space="preserve">עיר </w:t>
      </w:r>
      <w:r w:rsidR="00B626FB">
        <w:rPr>
          <w:b/>
          <w:bCs/>
          <w:i/>
          <w:iCs/>
        </w:rPr>
        <w:t>m</w:t>
      </w:r>
      <w:r>
        <w:rPr>
          <w:b/>
          <w:bCs/>
          <w:i/>
          <w:iCs/>
          <w:rtl/>
        </w:rPr>
        <w:t>, שהיא מקיימת יחסים עם לקוחות הבנק ומנהל הסניף.</w:t>
      </w:r>
      <w:r>
        <w:rPr>
          <w:rtl/>
        </w:rPr>
        <w:t xml:space="preserve">  </w:t>
      </w:r>
    </w:p>
    <w:p w:rsidR="004F54D7" w:rsidRDefault="004F54D7" w:rsidP="004F54D7">
      <w:pPr>
        <w:pStyle w:val="ad"/>
        <w:spacing w:line="360" w:lineRule="auto"/>
        <w:ind w:left="717"/>
        <w:jc w:val="both"/>
        <w:rPr>
          <w:rtl/>
        </w:rPr>
      </w:pPr>
    </w:p>
    <w:p w:rsidR="004F54D7" w:rsidRDefault="004F54D7" w:rsidP="002B7957">
      <w:pPr>
        <w:pStyle w:val="ad"/>
        <w:spacing w:line="360" w:lineRule="auto"/>
        <w:ind w:left="717"/>
        <w:jc w:val="both"/>
        <w:rPr>
          <w:rtl/>
        </w:rPr>
      </w:pPr>
      <w:r>
        <w:rPr>
          <w:rtl/>
        </w:rPr>
        <w:t xml:space="preserve">בחקירתו טען, כי </w:t>
      </w:r>
      <w:r>
        <w:rPr>
          <w:b/>
          <w:bCs/>
          <w:i/>
          <w:iCs/>
          <w:rtl/>
        </w:rPr>
        <w:t xml:space="preserve">מכיר את האיש ממגוריו </w:t>
      </w:r>
      <w:r w:rsidR="00B626FB">
        <w:rPr>
          <w:b/>
          <w:bCs/>
          <w:i/>
          <w:iCs/>
          <w:rtl/>
        </w:rPr>
        <w:t>ב</w:t>
      </w:r>
      <w:r w:rsidR="00B626FB">
        <w:rPr>
          <w:rFonts w:hint="cs"/>
          <w:b/>
          <w:bCs/>
          <w:i/>
          <w:iCs/>
          <w:rtl/>
        </w:rPr>
        <w:t xml:space="preserve">עיר </w:t>
      </w:r>
      <w:r w:rsidR="00B626FB">
        <w:rPr>
          <w:b/>
          <w:bCs/>
          <w:i/>
          <w:iCs/>
        </w:rPr>
        <w:t>m</w:t>
      </w:r>
      <w:r w:rsidR="00B626FB">
        <w:rPr>
          <w:b/>
          <w:bCs/>
          <w:i/>
          <w:iCs/>
          <w:rtl/>
        </w:rPr>
        <w:t xml:space="preserve"> </w:t>
      </w:r>
      <w:r w:rsidR="00B626FB">
        <w:rPr>
          <w:rFonts w:hint="cs"/>
          <w:b/>
          <w:bCs/>
          <w:i/>
          <w:iCs/>
          <w:rtl/>
        </w:rPr>
        <w:t xml:space="preserve">, </w:t>
      </w:r>
      <w:r>
        <w:rPr>
          <w:b/>
          <w:bCs/>
          <w:i/>
          <w:iCs/>
          <w:rtl/>
        </w:rPr>
        <w:t>מקורב מאוד לאחיו של האיש המשמש כ</w:t>
      </w:r>
      <w:r w:rsidR="00DB646A">
        <w:rPr>
          <w:rFonts w:hint="cs"/>
          <w:b/>
          <w:bCs/>
          <w:i/>
          <w:iCs/>
          <w:rtl/>
        </w:rPr>
        <w:t>__</w:t>
      </w:r>
      <w:r>
        <w:rPr>
          <w:b/>
          <w:bCs/>
          <w:i/>
          <w:iCs/>
          <w:rtl/>
        </w:rPr>
        <w:t xml:space="preserve"> שלו. </w:t>
      </w:r>
      <w:r>
        <w:rPr>
          <w:rtl/>
        </w:rPr>
        <w:t>נכח מספר פעמים בעת שהאיש ואחיו ישבו שבעה על אימם ואז פנה לאיש בשאלה היכן האשה, והאיש בתגובה השיב לו את הדברים שפורטו בתצהיר (ראה בעמוד 257). ב</w:t>
      </w:r>
      <w:r>
        <w:rPr>
          <w:b/>
          <w:bCs/>
          <w:i/>
          <w:iCs/>
          <w:rtl/>
        </w:rPr>
        <w:t>המשך חקירתו עלה, כי הוא לקוח וותיק בבנק, מכיר את האשה שעובדת שם</w:t>
      </w:r>
      <w:r>
        <w:rPr>
          <w:rtl/>
        </w:rPr>
        <w:t xml:space="preserve"> (ראה בעמוד 258). זמן מה לאחר השבעה, סיפר לאשה על הדברים שנאמרו לו ע"י האיש והיא פרצה בבכי והשיבה לו כי שמעה גם מאנשים אחרים שהאיש מספר להם דברים דומים. לא רצה להיות חלק מהעניין (ראה בעמוד 259, שורות 1-7). בחקירה חוזרת ציין כי האיש סיפר לו שהאשה הולכת עם מנהל ה</w:t>
      </w:r>
      <w:r w:rsidR="002B7957">
        <w:rPr>
          <w:rFonts w:hint="cs"/>
          <w:rtl/>
        </w:rPr>
        <w:t>סניף</w:t>
      </w:r>
      <w:r>
        <w:rPr>
          <w:rtl/>
        </w:rPr>
        <w:t xml:space="preserve"> ואדם נוסף, מר</w:t>
      </w:r>
      <w:r w:rsidR="009329AA">
        <w:t xml:space="preserve">b </w:t>
      </w:r>
      <w:r>
        <w:rPr>
          <w:rtl/>
        </w:rPr>
        <w:t xml:space="preserve"> לחדרי אירוח, רואים אותם נכנסים ויוצאים והם מקיימים יחסים (בעמוד 262). הוא שוחח על כך פעם אחת עם אחיו של האיש, שביקש שלא לדבר איתו על זה (בעמוד 263). </w:t>
      </w:r>
    </w:p>
    <w:p w:rsidR="004F54D7" w:rsidRDefault="004F54D7" w:rsidP="004F54D7">
      <w:pPr>
        <w:pStyle w:val="ad"/>
        <w:spacing w:line="360" w:lineRule="auto"/>
        <w:ind w:left="717"/>
        <w:jc w:val="both"/>
        <w:rPr>
          <w:u w:val="single"/>
          <w:rtl/>
        </w:rPr>
      </w:pPr>
    </w:p>
    <w:p w:rsidR="004F54D7" w:rsidRDefault="004F54D7" w:rsidP="001D3FD4">
      <w:pPr>
        <w:pStyle w:val="ad"/>
        <w:numPr>
          <w:ilvl w:val="0"/>
          <w:numId w:val="4"/>
        </w:numPr>
        <w:spacing w:line="360" w:lineRule="auto"/>
        <w:jc w:val="both"/>
        <w:rPr>
          <w:u w:val="single"/>
        </w:rPr>
      </w:pPr>
      <w:r>
        <w:rPr>
          <w:u w:val="single"/>
          <w:rtl/>
        </w:rPr>
        <w:t xml:space="preserve">העד, חתנם של הצדדים, מר </w:t>
      </w:r>
      <w:r w:rsidR="001D3FD4">
        <w:rPr>
          <w:rFonts w:hint="cs"/>
          <w:u w:val="single"/>
          <w:rtl/>
        </w:rPr>
        <w:t>צ'</w:t>
      </w:r>
      <w:r>
        <w:rPr>
          <w:u w:val="single"/>
          <w:rtl/>
        </w:rPr>
        <w:t xml:space="preserve">- </w:t>
      </w:r>
    </w:p>
    <w:p w:rsidR="004F54D7" w:rsidRDefault="004F54D7" w:rsidP="004F54D7">
      <w:pPr>
        <w:pStyle w:val="ad"/>
        <w:spacing w:line="360" w:lineRule="auto"/>
        <w:ind w:left="717"/>
        <w:jc w:val="both"/>
      </w:pPr>
      <w:r>
        <w:rPr>
          <w:rtl/>
        </w:rPr>
        <w:t xml:space="preserve">בתצהירו ציין, כי </w:t>
      </w:r>
      <w:r>
        <w:rPr>
          <w:b/>
          <w:bCs/>
          <w:i/>
          <w:iCs/>
          <w:rtl/>
        </w:rPr>
        <w:t>בעת השבעה על אמו, טען באוזניו האיש כי האשה מקיימת יחסים</w:t>
      </w:r>
      <w:r>
        <w:rPr>
          <w:rtl/>
        </w:rPr>
        <w:t xml:space="preserve">. בשיחותיו עם האיש </w:t>
      </w:r>
      <w:r>
        <w:rPr>
          <w:b/>
          <w:bCs/>
          <w:i/>
          <w:iCs/>
          <w:rtl/>
        </w:rPr>
        <w:t>האשים אותו ואת אשתו, בתם של הצדדים, כי הם מסייעים בידה של האשה וכינה אותה פושעת</w:t>
      </w:r>
      <w:r>
        <w:rPr>
          <w:rtl/>
        </w:rPr>
        <w:t xml:space="preserve">. האיש היה צועק עליה ואומר לה אמירות קשות בנוכחות אנשים. בחקירתו הוסיף כי </w:t>
      </w:r>
      <w:r>
        <w:rPr>
          <w:b/>
          <w:bCs/>
          <w:i/>
          <w:iCs/>
          <w:rtl/>
        </w:rPr>
        <w:t>היה עד למצבים של צעקות איומות בטונים גבוהים בזמן שהיה שם. היה גם בסיטואציות שבהם נכחו אנשים נוספים, שלא בחוג המשפחתי וזה היה משפיל ולא נעים</w:t>
      </w:r>
      <w:r>
        <w:rPr>
          <w:rtl/>
        </w:rPr>
        <w:t xml:space="preserve"> (ראה בעמוד 267 וגם בעמוד 273). </w:t>
      </w:r>
    </w:p>
    <w:p w:rsidR="004F54D7" w:rsidRDefault="004F54D7" w:rsidP="004F54D7">
      <w:pPr>
        <w:pStyle w:val="ad"/>
        <w:spacing w:line="360" w:lineRule="auto"/>
        <w:ind w:left="717"/>
        <w:jc w:val="both"/>
        <w:rPr>
          <w:rtl/>
        </w:rPr>
      </w:pPr>
    </w:p>
    <w:p w:rsidR="004F54D7" w:rsidRDefault="004F54D7" w:rsidP="00B4744A">
      <w:pPr>
        <w:pStyle w:val="ad"/>
        <w:numPr>
          <w:ilvl w:val="0"/>
          <w:numId w:val="4"/>
        </w:numPr>
        <w:spacing w:line="360" w:lineRule="auto"/>
        <w:jc w:val="both"/>
        <w:rPr>
          <w:u w:val="single"/>
          <w:rtl/>
        </w:rPr>
      </w:pPr>
      <w:r>
        <w:rPr>
          <w:u w:val="single"/>
          <w:rtl/>
        </w:rPr>
        <w:t xml:space="preserve">העדה, בתם של הצדדים, הגב' </w:t>
      </w:r>
      <w:r w:rsidR="00B4744A">
        <w:rPr>
          <w:rFonts w:hint="cs"/>
          <w:u w:val="single"/>
          <w:rtl/>
        </w:rPr>
        <w:t>י'</w:t>
      </w:r>
    </w:p>
    <w:p w:rsidR="004F54D7" w:rsidRDefault="004F54D7" w:rsidP="00D979E4">
      <w:pPr>
        <w:pStyle w:val="ad"/>
        <w:spacing w:line="360" w:lineRule="auto"/>
        <w:ind w:left="717"/>
        <w:jc w:val="both"/>
      </w:pPr>
      <w:r>
        <w:rPr>
          <w:rtl/>
        </w:rPr>
        <w:t>בתצהירה טענה, כי שמעה בהזדמנויות שונות את האיש, אביה, מכפיש את אימה וטוען כנגדה שהיא בוגדת בו עם אנשים אחרים. אביה חקר אותה על מעשיה של האם וטען נגדה כי היא מחפה על אימה ומסייעת בידה ללכת עם גברים אחרים, לרבות קיום יחסים אינטימיים בחדרים מושכרים. בנוסף ציינה היא  נכחה  בפגישה שהתקיימה בין אביה לבין מנהל ה</w:t>
      </w:r>
      <w:r w:rsidR="00D979E4">
        <w:rPr>
          <w:rFonts w:hint="cs"/>
          <w:rtl/>
        </w:rPr>
        <w:t>סניף</w:t>
      </w:r>
      <w:r>
        <w:rPr>
          <w:rtl/>
        </w:rPr>
        <w:t xml:space="preserve"> במהלכה התנגד האיש להשתתפות האשה באירועי חברה של הבנק. היא סיימה את תצהירה בטענה כי האיש ממשיך להכפיש את שמה של האשה. </w:t>
      </w:r>
    </w:p>
    <w:p w:rsidR="004F54D7" w:rsidRDefault="004F54D7" w:rsidP="005E6222">
      <w:pPr>
        <w:pStyle w:val="ad"/>
        <w:spacing w:line="360" w:lineRule="auto"/>
        <w:ind w:left="717"/>
        <w:jc w:val="both"/>
      </w:pPr>
      <w:r>
        <w:rPr>
          <w:b/>
          <w:bCs/>
          <w:i/>
          <w:iCs/>
          <w:rtl/>
        </w:rPr>
        <w:lastRenderedPageBreak/>
        <w:t>בחקירתה העידה, כי ראתה את האשה במצב נפשי קשה מאוד בשל ההאשמות שהוטחה כלפיה והפצתם בקרב אנשים אחרים</w:t>
      </w:r>
      <w:r>
        <w:rPr>
          <w:rtl/>
        </w:rPr>
        <w:t xml:space="preserve">. </w:t>
      </w:r>
      <w:r>
        <w:rPr>
          <w:b/>
          <w:bCs/>
          <w:i/>
          <w:iCs/>
          <w:rtl/>
        </w:rPr>
        <w:t>כך גם לאחר הפגישה שהתקיימה עם מנהל ה</w:t>
      </w:r>
      <w:r w:rsidR="005E6222">
        <w:rPr>
          <w:rFonts w:hint="cs"/>
          <w:b/>
          <w:bCs/>
          <w:i/>
          <w:iCs/>
          <w:rtl/>
        </w:rPr>
        <w:t>סניף</w:t>
      </w:r>
      <w:r>
        <w:rPr>
          <w:b/>
          <w:bCs/>
          <w:i/>
          <w:iCs/>
          <w:rtl/>
        </w:rPr>
        <w:t xml:space="preserve"> בביתם של בני הזוג, בו נכחה העדה ובה העביר האיש למנהל ה</w:t>
      </w:r>
      <w:r w:rsidR="005E6222">
        <w:rPr>
          <w:rFonts w:hint="cs"/>
          <w:b/>
          <w:bCs/>
          <w:i/>
          <w:iCs/>
          <w:rtl/>
        </w:rPr>
        <w:t>סניף</w:t>
      </w:r>
      <w:r>
        <w:rPr>
          <w:b/>
          <w:bCs/>
          <w:i/>
          <w:iCs/>
          <w:rtl/>
        </w:rPr>
        <w:t xml:space="preserve"> את החשדות שלו על קיום מערכת היחסים בינו לבין האשה</w:t>
      </w:r>
      <w:r>
        <w:rPr>
          <w:rtl/>
        </w:rPr>
        <w:t xml:space="preserve"> (ראה בעמוד 183  וגם בעמוד 197 לפרוט'). העדה שבה וחזרה כי בכל מיני הזדמנויות טען בפניה אביה, כי אימה מקיימת יחסים עם מנהל ה</w:t>
      </w:r>
      <w:r w:rsidR="005E6222">
        <w:rPr>
          <w:rFonts w:hint="cs"/>
          <w:rtl/>
        </w:rPr>
        <w:t>סניף</w:t>
      </w:r>
      <w:r>
        <w:rPr>
          <w:rtl/>
        </w:rPr>
        <w:t xml:space="preserve"> ואח"כ טען כי עושה זאת גם עם אנשים אחרים. </w:t>
      </w:r>
      <w:r>
        <w:rPr>
          <w:b/>
          <w:bCs/>
          <w:i/>
          <w:iCs/>
          <w:rtl/>
        </w:rPr>
        <w:t>האיש החל להפיץ את האמירות החל מפרוץ המשבר בין הצדדים, מיום</w:t>
      </w:r>
      <w:r>
        <w:rPr>
          <w:rtl/>
        </w:rPr>
        <w:t xml:space="preserve">  23.7.2017 (ראה בעמוד 185 לפרוטוקול הדיון מיום 2.10.2019).  </w:t>
      </w:r>
    </w:p>
    <w:p w:rsidR="004F54D7" w:rsidRDefault="004F54D7" w:rsidP="004F54D7">
      <w:pPr>
        <w:pStyle w:val="ad"/>
        <w:spacing w:line="360" w:lineRule="auto"/>
        <w:ind w:left="717"/>
        <w:jc w:val="both"/>
        <w:rPr>
          <w:rtl/>
        </w:rPr>
      </w:pPr>
    </w:p>
    <w:p w:rsidR="004F54D7" w:rsidRDefault="004F54D7" w:rsidP="00142CD1">
      <w:pPr>
        <w:pStyle w:val="ad"/>
        <w:numPr>
          <w:ilvl w:val="0"/>
          <w:numId w:val="4"/>
        </w:numPr>
        <w:spacing w:line="360" w:lineRule="auto"/>
        <w:jc w:val="both"/>
        <w:rPr>
          <w:u w:val="single"/>
          <w:rtl/>
        </w:rPr>
      </w:pPr>
      <w:r>
        <w:rPr>
          <w:u w:val="single"/>
          <w:rtl/>
        </w:rPr>
        <w:t xml:space="preserve">העדה בתם של הצדדים, הגב' </w:t>
      </w:r>
      <w:r w:rsidR="00142CD1">
        <w:rPr>
          <w:rFonts w:hint="cs"/>
          <w:u w:val="single"/>
          <w:rtl/>
        </w:rPr>
        <w:t>ו'</w:t>
      </w:r>
      <w:r>
        <w:rPr>
          <w:u w:val="single"/>
          <w:rtl/>
        </w:rPr>
        <w:t xml:space="preserve"> - </w:t>
      </w:r>
    </w:p>
    <w:p w:rsidR="004F54D7" w:rsidRDefault="004F54D7" w:rsidP="004F54D7">
      <w:pPr>
        <w:pStyle w:val="ad"/>
        <w:spacing w:line="360" w:lineRule="auto"/>
        <w:ind w:left="717"/>
        <w:jc w:val="both"/>
      </w:pPr>
      <w:r>
        <w:rPr>
          <w:rtl/>
        </w:rPr>
        <w:t>בתצהירה טענה, כי האיש גרם לאשה לבושה גדולה בעת שסיפר לאחרים את ההאשמות שהטיח בה , גם באוזניה ובאוזני אחותה וכן באוזני מכרים. בשל כך, חשה האשה בושה בפני לקוחות הבנק, מכרים ואנשים שדיברנו עליה.</w:t>
      </w:r>
    </w:p>
    <w:p w:rsidR="004F54D7" w:rsidRDefault="004F54D7" w:rsidP="00FF7759">
      <w:pPr>
        <w:pStyle w:val="ad"/>
        <w:spacing w:line="360" w:lineRule="auto"/>
        <w:ind w:left="717"/>
        <w:jc w:val="both"/>
        <w:rPr>
          <w:rtl/>
        </w:rPr>
      </w:pPr>
      <w:r>
        <w:rPr>
          <w:rtl/>
        </w:rPr>
        <w:t xml:space="preserve">בחקירתה טענה, כי ביום שבו נפגשה עם הוריה ונערך הסכם חלוקת הממון, </w:t>
      </w:r>
      <w:r>
        <w:rPr>
          <w:b/>
          <w:bCs/>
          <w:i/>
          <w:iCs/>
          <w:rtl/>
        </w:rPr>
        <w:t>אביה אמר לה כי האשה מקיימת יחסים עם מנהל ה</w:t>
      </w:r>
      <w:r w:rsidR="00FF7759">
        <w:rPr>
          <w:rFonts w:hint="cs"/>
          <w:b/>
          <w:bCs/>
          <w:i/>
          <w:iCs/>
          <w:rtl/>
        </w:rPr>
        <w:t>סניף</w:t>
      </w:r>
      <w:r>
        <w:rPr>
          <w:b/>
          <w:bCs/>
          <w:i/>
          <w:iCs/>
          <w:rtl/>
        </w:rPr>
        <w:t>.</w:t>
      </w:r>
      <w:r>
        <w:rPr>
          <w:rtl/>
        </w:rPr>
        <w:t xml:space="preserve"> </w:t>
      </w:r>
      <w:r>
        <w:rPr>
          <w:b/>
          <w:bCs/>
          <w:i/>
          <w:iCs/>
          <w:rtl/>
        </w:rPr>
        <w:t xml:space="preserve">כחודש וחצי אחר כך, אמר לה אביה כי האשה מקיימת יחסים עם אחיינו </w:t>
      </w:r>
      <w:r w:rsidR="004A07FB">
        <w:rPr>
          <w:rFonts w:hint="cs"/>
          <w:b/>
          <w:bCs/>
          <w:i/>
          <w:iCs/>
          <w:rtl/>
        </w:rPr>
        <w:t>__</w:t>
      </w:r>
      <w:r>
        <w:rPr>
          <w:b/>
          <w:bCs/>
          <w:i/>
          <w:iCs/>
          <w:rtl/>
        </w:rPr>
        <w:t xml:space="preserve">, בחדרים מושכרים על בסיס </w:t>
      </w:r>
      <w:r>
        <w:rPr>
          <w:b/>
          <w:bCs/>
          <w:i/>
          <w:iCs/>
        </w:rPr>
        <w:t>Day use</w:t>
      </w:r>
      <w:r>
        <w:rPr>
          <w:rtl/>
        </w:rPr>
        <w:t xml:space="preserve">; במשך חודשים רבים אחר כך, חזר ואמר את האמירות הללו בהזדמנויות שונות (ראה בעמוד 116 וכן בעמוד 119 לפרוט' הדיון מיום 2.10.2019). </w:t>
      </w:r>
      <w:r>
        <w:rPr>
          <w:b/>
          <w:bCs/>
          <w:i/>
          <w:iCs/>
          <w:rtl/>
        </w:rPr>
        <w:t>ציינה כי שמעה מאנשים ומכרים כי אביה מספר להם את הדברים הללו שהשמיע באוזניה והיא חשה בושה בעבורו</w:t>
      </w:r>
      <w:r>
        <w:rPr>
          <w:rtl/>
        </w:rPr>
        <w:t xml:space="preserve"> (ראה בעמוד 121 לפרוט'). </w:t>
      </w:r>
    </w:p>
    <w:p w:rsidR="004F54D7" w:rsidRDefault="004F54D7" w:rsidP="004F54D7">
      <w:pPr>
        <w:pStyle w:val="ad"/>
        <w:spacing w:line="360" w:lineRule="auto"/>
        <w:ind w:left="717"/>
        <w:jc w:val="both"/>
        <w:rPr>
          <w:spacing w:val="22"/>
          <w:sz w:val="26"/>
          <w:szCs w:val="26"/>
          <w:rtl/>
        </w:rPr>
      </w:pPr>
      <w:r>
        <w:rPr>
          <w:rtl/>
        </w:rPr>
        <w:t>העדה טענה כי האיש הטיח באשה האשמות על דברים שמעולם לא עשתה, ביזה אותה, העליב ופגע בה (</w:t>
      </w:r>
      <w:r w:rsidR="00A20696">
        <w:rPr>
          <w:rFonts w:hint="cs"/>
          <w:rtl/>
        </w:rPr>
        <w:t>ש</w:t>
      </w:r>
      <w:r>
        <w:rPr>
          <w:rtl/>
        </w:rPr>
        <w:t xml:space="preserve">ם, בעמוד 139, בשורות 15-19 לפרוט'). כשנשאלה לעניין האשמות שהופנו לאשה ע"י האיש, השיבה: </w:t>
      </w:r>
    </w:p>
    <w:p w:rsidR="004F54D7" w:rsidRDefault="004F54D7" w:rsidP="00A64337">
      <w:pPr>
        <w:pStyle w:val="ad"/>
        <w:spacing w:line="360" w:lineRule="auto"/>
        <w:ind w:left="1440"/>
        <w:jc w:val="both"/>
        <w:rPr>
          <w:rtl/>
        </w:rPr>
      </w:pPr>
      <w:r>
        <w:rPr>
          <w:spacing w:val="22"/>
          <w:sz w:val="26"/>
          <w:szCs w:val="26"/>
          <w:rtl/>
        </w:rPr>
        <w:t>"</w:t>
      </w:r>
      <w:r>
        <w:rPr>
          <w:b/>
          <w:bCs/>
          <w:rtl/>
        </w:rPr>
        <w:t xml:space="preserve">בהאשמות לסעיף מס' 2 כפי שכתוב שהוא אמר לה. שהיא עושה מעשים שלא עושים, שהיא מזדיינת עם מנהל הסניף, שהיא מזדיינת עם </w:t>
      </w:r>
      <w:r w:rsidR="00A64337">
        <w:rPr>
          <w:rFonts w:hint="cs"/>
          <w:b/>
          <w:bCs/>
          <w:rtl/>
        </w:rPr>
        <w:t>האחיין</w:t>
      </w:r>
      <w:r>
        <w:rPr>
          <w:b/>
          <w:bCs/>
          <w:rtl/>
        </w:rPr>
        <w:t xml:space="preserve">, שהיא מזדיינת עם אנשים אחרים </w:t>
      </w:r>
      <w:r w:rsidR="00F72834">
        <w:rPr>
          <w:rFonts w:hint="cs"/>
          <w:b/>
          <w:bCs/>
          <w:rtl/>
        </w:rPr>
        <w:t>ב</w:t>
      </w:r>
      <w:r w:rsidR="00985901">
        <w:rPr>
          <w:rFonts w:hint="cs"/>
          <w:b/>
          <w:bCs/>
          <w:i/>
          <w:iCs/>
          <w:rtl/>
        </w:rPr>
        <w:t xml:space="preserve">עיר </w:t>
      </w:r>
      <w:r w:rsidR="00985901">
        <w:rPr>
          <w:b/>
          <w:bCs/>
          <w:i/>
          <w:iCs/>
        </w:rPr>
        <w:t>m</w:t>
      </w:r>
      <w:r>
        <w:rPr>
          <w:b/>
          <w:bCs/>
          <w:rtl/>
        </w:rPr>
        <w:t xml:space="preserve">. הוא ניסה לשכנע אותי בדברים האלה הלוך וחזור ובשיחות שאני כבר לא יכולה לספור, עשרות על גבי עשרות של שיחות שהוא ניסה לשכנע אותי שזה מה שהיא עושה וכביכול לתת לי הוכחות שאין בהן בעצם שום הוכחות. וברגע שהדברים, ברגע שהוא הבין שאני לא מקבלת את הדברים, ואני לא מוכנה לקבל את האשמות שלו ואין בהאשמות שלו שום אמת, אז הוא התחיל להפנות האשמות אישיות גם כלפיי, ואז אני הפכתי להיות מי שמגנה עליה, מי שיודעת ומכסה עליה וכו' וכו'." </w:t>
      </w:r>
      <w:r>
        <w:rPr>
          <w:rtl/>
        </w:rPr>
        <w:t xml:space="preserve">(בעמודים 154-155 לפרוט'). </w:t>
      </w:r>
    </w:p>
    <w:p w:rsidR="006B1648" w:rsidRDefault="006B1648" w:rsidP="004F54D7">
      <w:pPr>
        <w:spacing w:line="360" w:lineRule="auto"/>
        <w:jc w:val="both"/>
        <w:rPr>
          <w:b/>
          <w:bCs/>
          <w:u w:val="single"/>
          <w:rtl/>
        </w:rPr>
      </w:pPr>
    </w:p>
    <w:p w:rsidR="006B1648" w:rsidRDefault="006B1648" w:rsidP="006B1648">
      <w:pPr>
        <w:spacing w:line="360" w:lineRule="auto"/>
        <w:jc w:val="both"/>
        <w:rPr>
          <w:b/>
          <w:bCs/>
          <w:u w:val="single"/>
          <w:rtl/>
        </w:rPr>
      </w:pPr>
    </w:p>
    <w:p w:rsidR="004F54D7" w:rsidRDefault="004F54D7" w:rsidP="004A484D">
      <w:pPr>
        <w:spacing w:line="360" w:lineRule="auto"/>
        <w:ind w:firstLine="357"/>
        <w:jc w:val="both"/>
        <w:rPr>
          <w:b/>
          <w:bCs/>
          <w:u w:val="single"/>
          <w:rtl/>
        </w:rPr>
      </w:pPr>
      <w:r>
        <w:rPr>
          <w:b/>
          <w:bCs/>
          <w:u w:val="single"/>
          <w:rtl/>
        </w:rPr>
        <w:lastRenderedPageBreak/>
        <w:t>חקירת האיש</w:t>
      </w:r>
    </w:p>
    <w:p w:rsidR="004F54D7" w:rsidRDefault="004F54D7" w:rsidP="002F0117">
      <w:pPr>
        <w:pStyle w:val="ad"/>
        <w:numPr>
          <w:ilvl w:val="0"/>
          <w:numId w:val="1"/>
        </w:numPr>
        <w:spacing w:line="360" w:lineRule="auto"/>
        <w:ind w:left="357" w:hanging="357"/>
        <w:jc w:val="both"/>
        <w:rPr>
          <w:rtl/>
        </w:rPr>
      </w:pPr>
      <w:r>
        <w:rPr>
          <w:rtl/>
        </w:rPr>
        <w:t>האיש נחקר אודות האירועים שצוינו וטען כי האשה היא שמכפישה את שמו, צועקת עליו אנאלפבית, מספרת לכולם כי הוא מאושפז בשלוותא (בעמוד 318, שורות 8-10 לפרוט' מיום 22.11.2020). כשנשאל האם אמר למישהו שהאשה מקיימת יחסים עם מנהל ה</w:t>
      </w:r>
      <w:r w:rsidR="002F0117">
        <w:rPr>
          <w:rFonts w:hint="cs"/>
          <w:rtl/>
        </w:rPr>
        <w:t>סניף</w:t>
      </w:r>
      <w:r>
        <w:rPr>
          <w:rtl/>
        </w:rPr>
        <w:t>, השיב בשלילה וטען כי:</w:t>
      </w:r>
    </w:p>
    <w:p w:rsidR="004F54D7" w:rsidRDefault="004F54D7" w:rsidP="00E26876">
      <w:pPr>
        <w:pStyle w:val="ad"/>
        <w:spacing w:line="360" w:lineRule="auto"/>
        <w:jc w:val="both"/>
      </w:pPr>
      <w:r>
        <w:rPr>
          <w:rtl/>
        </w:rPr>
        <w:t>"</w:t>
      </w:r>
      <w:r>
        <w:rPr>
          <w:b/>
          <w:bCs/>
          <w:rtl/>
        </w:rPr>
        <w:t xml:space="preserve">לא אמרתי, כמה היא הביאה עדים? 10? 20? היא יכולה להביא 200. כל הלקוחות שלה, מי שתגיד לו, מה שתגיד לו, הוא יבוא. </w:t>
      </w:r>
      <w:r>
        <w:rPr>
          <w:b/>
          <w:bCs/>
          <w:u w:val="single"/>
          <w:rtl/>
        </w:rPr>
        <w:t>היא סוג של אתי אלון,</w:t>
      </w:r>
      <w:r>
        <w:rPr>
          <w:b/>
          <w:bCs/>
          <w:rtl/>
        </w:rPr>
        <w:t xml:space="preserve"> שאף אחד לא הבין, ואף אחד עוד לא נפל לו האסימון, איזה כוחות, איזה קשרים. היא, אם לא תאשר לגברת הזאת 2,000,000 הלוואה, החברה של תקרוס. מה זה מעניין אותם </w:t>
      </w:r>
      <w:r w:rsidR="00E26876">
        <w:rPr>
          <w:rFonts w:hint="cs"/>
          <w:b/>
          <w:bCs/>
          <w:rtl/>
        </w:rPr>
        <w:t>איש</w:t>
      </w:r>
      <w:r>
        <w:rPr>
          <w:b/>
          <w:bCs/>
          <w:rtl/>
        </w:rPr>
        <w:t>? מה זה, נרמוס אותו, לא מכירים אותו, לא ראינו אותו, אנחנו נגמור אותו כי היא ביקשה. בן אדם, לקוח, מזמין סחורה עומדת בנמל, אם היא לא תאשר לו 4,000,000 הוא לא, פשטה רגל החברה. אז מי חייב למי? מי חייב למי? מי חייב למי? מה זה, היא יכולה עדים מפה לבאר שבע. העד היחידי שהיה ניטרלי, שהיא הזמינה אותו לפה, עד היום היא לא שילמה לו את הכסף אפילו</w:t>
      </w:r>
      <w:r>
        <w:rPr>
          <w:rtl/>
        </w:rPr>
        <w:t xml:space="preserve">." (ראה בעמוד 328-329 לפרוט', הדגשה לא במקור). </w:t>
      </w:r>
    </w:p>
    <w:p w:rsidR="004F54D7" w:rsidRDefault="004F54D7" w:rsidP="004F54D7">
      <w:pPr>
        <w:pStyle w:val="ad"/>
        <w:spacing w:line="360" w:lineRule="auto"/>
        <w:jc w:val="both"/>
        <w:rPr>
          <w:rtl/>
        </w:rPr>
      </w:pPr>
    </w:p>
    <w:p w:rsidR="004F54D7" w:rsidRDefault="004F54D7" w:rsidP="00B862C2">
      <w:pPr>
        <w:pStyle w:val="ad"/>
        <w:numPr>
          <w:ilvl w:val="0"/>
          <w:numId w:val="1"/>
        </w:numPr>
        <w:spacing w:line="360" w:lineRule="auto"/>
        <w:ind w:left="357" w:hanging="357"/>
        <w:jc w:val="both"/>
        <w:rPr>
          <w:rtl/>
        </w:rPr>
      </w:pPr>
      <w:r>
        <w:rPr>
          <w:rtl/>
        </w:rPr>
        <w:t>כשנשאל מהיכן היו בידיו טלפונים של לקוחות הבנק, השיב, כי לא התקשר אליהם (בעמוד 358). האיש אף כפר בטענות כי אמר לבנותיהם של הצדדים, כי האשה מקיימת יחסים עם מנהל ה</w:t>
      </w:r>
      <w:r w:rsidR="00B862C2">
        <w:rPr>
          <w:rFonts w:hint="cs"/>
          <w:rtl/>
        </w:rPr>
        <w:t>סניף</w:t>
      </w:r>
      <w:r>
        <w:rPr>
          <w:rtl/>
        </w:rPr>
        <w:t xml:space="preserve"> (שם, שורות 12-15). כשנשאל אם אמר לבת </w:t>
      </w:r>
      <w:r w:rsidR="00D135FB">
        <w:rPr>
          <w:rFonts w:hint="cs"/>
          <w:rtl/>
        </w:rPr>
        <w:t>י'</w:t>
      </w:r>
      <w:r>
        <w:rPr>
          <w:rtl/>
        </w:rPr>
        <w:t xml:space="preserve"> שראו את האשה יוצאת מחדרים מושכרים, השיב</w:t>
      </w:r>
      <w:r w:rsidR="004F5FE4">
        <w:rPr>
          <w:rFonts w:hint="cs"/>
          <w:rtl/>
        </w:rPr>
        <w:t xml:space="preserve"> בצורה פתלתלה</w:t>
      </w:r>
      <w:r>
        <w:rPr>
          <w:rtl/>
        </w:rPr>
        <w:t xml:space="preserve">: </w:t>
      </w:r>
    </w:p>
    <w:p w:rsidR="004F54D7" w:rsidRDefault="004F54D7" w:rsidP="00D135FB">
      <w:pPr>
        <w:pStyle w:val="ad"/>
        <w:spacing w:line="360" w:lineRule="auto"/>
        <w:jc w:val="both"/>
        <w:rPr>
          <w:b/>
          <w:bCs/>
        </w:rPr>
      </w:pPr>
      <w:r>
        <w:rPr>
          <w:b/>
          <w:bCs/>
          <w:rtl/>
        </w:rPr>
        <w:t xml:space="preserve">"עו"ד ח.כהן: האם אתה אמרת לבתך </w:t>
      </w:r>
      <w:r w:rsidR="00D135FB">
        <w:rPr>
          <w:rFonts w:hint="cs"/>
          <w:b/>
          <w:bCs/>
          <w:rtl/>
        </w:rPr>
        <w:t>י'</w:t>
      </w:r>
      <w:r>
        <w:rPr>
          <w:b/>
          <w:bCs/>
          <w:rtl/>
        </w:rPr>
        <w:t>, אמא עובדת בחדרים מושכרים, הרבה אנשים אמרו שהיא יוצאת מהחדרים המושכרים, אמרת או לא אמרת? אין תשובה אחרת.</w:t>
      </w:r>
    </w:p>
    <w:p w:rsidR="004F54D7" w:rsidRDefault="007C0CBC" w:rsidP="007C0CBC">
      <w:pPr>
        <w:pStyle w:val="ad"/>
        <w:spacing w:line="360" w:lineRule="auto"/>
        <w:jc w:val="both"/>
        <w:rPr>
          <w:b/>
          <w:bCs/>
          <w:rtl/>
        </w:rPr>
      </w:pPr>
      <w:r>
        <w:rPr>
          <w:rFonts w:hint="cs"/>
          <w:b/>
          <w:bCs/>
          <w:rtl/>
        </w:rPr>
        <w:t>האיש</w:t>
      </w:r>
      <w:r w:rsidR="004F54D7">
        <w:rPr>
          <w:b/>
          <w:bCs/>
          <w:rtl/>
        </w:rPr>
        <w:t xml:space="preserve">: </w:t>
      </w:r>
      <w:r w:rsidR="004F54D7">
        <w:rPr>
          <w:b/>
          <w:bCs/>
          <w:u w:val="single"/>
          <w:rtl/>
        </w:rPr>
        <w:t>אנשים אמרו לי שראו אותה יוצאת מהחדרים</w:t>
      </w:r>
      <w:r w:rsidR="004F54D7">
        <w:rPr>
          <w:b/>
          <w:bCs/>
          <w:rtl/>
        </w:rPr>
        <w:t>.</w:t>
      </w:r>
    </w:p>
    <w:p w:rsidR="004F54D7" w:rsidRDefault="004F54D7" w:rsidP="004F54D7">
      <w:pPr>
        <w:pStyle w:val="ad"/>
        <w:spacing w:line="360" w:lineRule="auto"/>
        <w:jc w:val="both"/>
        <w:rPr>
          <w:b/>
          <w:bCs/>
          <w:rtl/>
        </w:rPr>
      </w:pPr>
      <w:r>
        <w:rPr>
          <w:b/>
          <w:bCs/>
          <w:rtl/>
        </w:rPr>
        <w:t>עו"ד ח.כהן: ככה,</w:t>
      </w:r>
    </w:p>
    <w:p w:rsidR="004F54D7" w:rsidRDefault="007C0CBC" w:rsidP="004F54D7">
      <w:pPr>
        <w:pStyle w:val="ad"/>
        <w:spacing w:line="360" w:lineRule="auto"/>
        <w:jc w:val="both"/>
        <w:rPr>
          <w:b/>
          <w:bCs/>
          <w:rtl/>
        </w:rPr>
      </w:pPr>
      <w:r>
        <w:rPr>
          <w:rFonts w:hint="cs"/>
          <w:b/>
          <w:bCs/>
          <w:rtl/>
        </w:rPr>
        <w:t>האיש</w:t>
      </w:r>
      <w:r w:rsidR="004F54D7">
        <w:rPr>
          <w:b/>
          <w:bCs/>
          <w:rtl/>
        </w:rPr>
        <w:t>: מה, היא עזבה, היא עזבה את הבית, היא גרה שם?</w:t>
      </w:r>
    </w:p>
    <w:p w:rsidR="004F54D7" w:rsidRDefault="004F54D7" w:rsidP="004F54D7">
      <w:pPr>
        <w:pStyle w:val="ad"/>
        <w:spacing w:line="360" w:lineRule="auto"/>
        <w:jc w:val="both"/>
        <w:rPr>
          <w:b/>
          <w:bCs/>
          <w:rtl/>
        </w:rPr>
      </w:pPr>
      <w:r>
        <w:rPr>
          <w:b/>
          <w:bCs/>
          <w:rtl/>
        </w:rPr>
        <w:t>עו"ד ח.כהן: יפה.</w:t>
      </w:r>
    </w:p>
    <w:p w:rsidR="004F54D7" w:rsidRDefault="007C0CBC" w:rsidP="007026C2">
      <w:pPr>
        <w:pStyle w:val="ad"/>
        <w:spacing w:line="360" w:lineRule="auto"/>
        <w:jc w:val="both"/>
        <w:rPr>
          <w:b/>
          <w:bCs/>
          <w:rtl/>
        </w:rPr>
      </w:pPr>
      <w:r>
        <w:rPr>
          <w:rFonts w:hint="cs"/>
          <w:b/>
          <w:bCs/>
          <w:rtl/>
        </w:rPr>
        <w:t>האיש</w:t>
      </w:r>
      <w:r w:rsidR="004F54D7">
        <w:rPr>
          <w:b/>
          <w:bCs/>
          <w:rtl/>
        </w:rPr>
        <w:t xml:space="preserve">: אמרתי, אני לא יודע על דבר כזה." (בעמודים 358-359, </w:t>
      </w:r>
      <w:r w:rsidR="004F54D7">
        <w:rPr>
          <w:rtl/>
        </w:rPr>
        <w:t>הדגשה לא במקור</w:t>
      </w:r>
      <w:r w:rsidR="004F54D7">
        <w:rPr>
          <w:b/>
          <w:bCs/>
          <w:rtl/>
        </w:rPr>
        <w:t xml:space="preserve">). </w:t>
      </w:r>
    </w:p>
    <w:p w:rsidR="004F54D7" w:rsidRDefault="004F54D7" w:rsidP="004F54D7">
      <w:pPr>
        <w:pStyle w:val="ad"/>
        <w:spacing w:line="360" w:lineRule="auto"/>
        <w:ind w:left="357"/>
        <w:jc w:val="both"/>
        <w:rPr>
          <w:rtl/>
        </w:rPr>
      </w:pPr>
    </w:p>
    <w:p w:rsidR="004F54D7" w:rsidRDefault="004F54D7" w:rsidP="00CF3565">
      <w:pPr>
        <w:pStyle w:val="ad"/>
        <w:numPr>
          <w:ilvl w:val="0"/>
          <w:numId w:val="1"/>
        </w:numPr>
        <w:spacing w:line="360" w:lineRule="auto"/>
        <w:ind w:left="357" w:hanging="357"/>
        <w:jc w:val="both"/>
      </w:pPr>
      <w:r>
        <w:rPr>
          <w:rtl/>
        </w:rPr>
        <w:t>כשנשאל באם אמר לבת</w:t>
      </w:r>
      <w:r w:rsidR="00700739">
        <w:rPr>
          <w:rFonts w:hint="cs"/>
          <w:rtl/>
        </w:rPr>
        <w:t xml:space="preserve"> ו'</w:t>
      </w:r>
      <w:r>
        <w:rPr>
          <w:rtl/>
        </w:rPr>
        <w:t xml:space="preserve"> שהאשה מקיימת יחסים עם אחיינו, השיב : </w:t>
      </w:r>
    </w:p>
    <w:p w:rsidR="004F54D7" w:rsidRDefault="004F54D7" w:rsidP="007C0CBC">
      <w:pPr>
        <w:spacing w:line="360" w:lineRule="auto"/>
        <w:ind w:left="720"/>
        <w:rPr>
          <w:b/>
          <w:bCs/>
        </w:rPr>
      </w:pPr>
      <w:r>
        <w:rPr>
          <w:b/>
          <w:bCs/>
          <w:rtl/>
        </w:rPr>
        <w:t>"עו"ד ח. כהן: לא</w:t>
      </w:r>
      <w:r w:rsidR="007C0CBC">
        <w:rPr>
          <w:rFonts w:hint="cs"/>
          <w:b/>
          <w:bCs/>
          <w:rtl/>
        </w:rPr>
        <w:t>'</w:t>
      </w:r>
      <w:r>
        <w:rPr>
          <w:b/>
          <w:bCs/>
          <w:rtl/>
        </w:rPr>
        <w:t>, כן? אני שואלת אותך, אמרת את זה או לא אמרת?</w:t>
      </w:r>
    </w:p>
    <w:p w:rsidR="004F54D7" w:rsidRDefault="007C0CBC" w:rsidP="004F54D7">
      <w:pPr>
        <w:spacing w:line="360" w:lineRule="auto"/>
        <w:ind w:left="720"/>
        <w:rPr>
          <w:b/>
          <w:bCs/>
          <w:rtl/>
        </w:rPr>
      </w:pPr>
      <w:r>
        <w:rPr>
          <w:rFonts w:hint="cs"/>
          <w:b/>
          <w:bCs/>
          <w:rtl/>
        </w:rPr>
        <w:t>האיש</w:t>
      </w:r>
      <w:r w:rsidR="004F54D7">
        <w:rPr>
          <w:b/>
          <w:bCs/>
          <w:rtl/>
        </w:rPr>
        <w:t xml:space="preserve">: </w:t>
      </w:r>
      <w:r w:rsidR="004F54D7">
        <w:rPr>
          <w:b/>
          <w:bCs/>
          <w:u w:val="single"/>
          <w:rtl/>
        </w:rPr>
        <w:t>כולם היום יודעים, כי אבא שלו מודה ואומר, אבא שלו מודה. הוא ילד קטן, היא פיתתה אותו ואתה מטומטם שהכנסת אותו לבית</w:t>
      </w:r>
      <w:r w:rsidR="004F54D7">
        <w:rPr>
          <w:b/>
          <w:bCs/>
          <w:rtl/>
        </w:rPr>
        <w:t>. כולם אומרים לי אתה מטומטם שהכנסת אותו אליך הבית. הוא היה סוג, סוג, הוא היה בעל הבית שלי. הוא הכניס אותי לעבודה בבית והיה כל יום מתייצב בבית,</w:t>
      </w:r>
    </w:p>
    <w:p w:rsidR="004F54D7" w:rsidRDefault="004F54D7" w:rsidP="004F54D7">
      <w:pPr>
        <w:spacing w:line="360" w:lineRule="auto"/>
        <w:ind w:left="720"/>
        <w:rPr>
          <w:b/>
          <w:bCs/>
          <w:rtl/>
        </w:rPr>
      </w:pPr>
      <w:r>
        <w:rPr>
          <w:b/>
          <w:bCs/>
          <w:rtl/>
        </w:rPr>
        <w:lastRenderedPageBreak/>
        <w:t>עו"ד ח. כהן: יפה,</w:t>
      </w:r>
    </w:p>
    <w:p w:rsidR="004F54D7" w:rsidRDefault="007C0CBC" w:rsidP="004F54D7">
      <w:pPr>
        <w:spacing w:line="360" w:lineRule="auto"/>
        <w:ind w:left="720"/>
        <w:rPr>
          <w:b/>
          <w:bCs/>
          <w:rtl/>
        </w:rPr>
      </w:pPr>
      <w:r>
        <w:rPr>
          <w:rFonts w:hint="cs"/>
          <w:b/>
          <w:bCs/>
          <w:rtl/>
        </w:rPr>
        <w:t>האיש</w:t>
      </w:r>
      <w:r w:rsidR="004F54D7">
        <w:rPr>
          <w:b/>
          <w:bCs/>
          <w:rtl/>
        </w:rPr>
        <w:t>: גם כשאני איננו בבית,</w:t>
      </w:r>
    </w:p>
    <w:p w:rsidR="004F54D7" w:rsidRDefault="004F54D7" w:rsidP="004F54D7">
      <w:pPr>
        <w:spacing w:line="360" w:lineRule="auto"/>
        <w:ind w:left="720"/>
        <w:rPr>
          <w:b/>
          <w:bCs/>
          <w:rtl/>
        </w:rPr>
      </w:pPr>
      <w:r>
        <w:rPr>
          <w:b/>
          <w:bCs/>
          <w:rtl/>
        </w:rPr>
        <w:t>עו"ד ח. כהן: אני שאלתי אותך שאלה פשוטה. אמרת או לא אמרת?</w:t>
      </w:r>
    </w:p>
    <w:p w:rsidR="004F54D7" w:rsidRDefault="007C0CBC" w:rsidP="004F54D7">
      <w:pPr>
        <w:spacing w:line="360" w:lineRule="auto"/>
        <w:ind w:left="720"/>
        <w:rPr>
          <w:b/>
          <w:bCs/>
          <w:rtl/>
        </w:rPr>
      </w:pPr>
      <w:r>
        <w:rPr>
          <w:rFonts w:hint="cs"/>
          <w:b/>
          <w:bCs/>
          <w:rtl/>
        </w:rPr>
        <w:t>האיש</w:t>
      </w:r>
      <w:r w:rsidR="004F54D7">
        <w:rPr>
          <w:b/>
          <w:bCs/>
          <w:rtl/>
        </w:rPr>
        <w:t xml:space="preserve">: </w:t>
      </w:r>
      <w:r w:rsidR="004F54D7">
        <w:rPr>
          <w:b/>
          <w:bCs/>
          <w:u w:val="single"/>
          <w:rtl/>
        </w:rPr>
        <w:t>אני לא אמרתי</w:t>
      </w:r>
      <w:r w:rsidR="004F54D7">
        <w:rPr>
          <w:b/>
          <w:bCs/>
          <w:rtl/>
        </w:rPr>
        <w:t>.</w:t>
      </w:r>
    </w:p>
    <w:p w:rsidR="004F54D7" w:rsidRDefault="004F54D7" w:rsidP="004F54D7">
      <w:pPr>
        <w:spacing w:line="360" w:lineRule="auto"/>
        <w:ind w:left="720"/>
        <w:rPr>
          <w:b/>
          <w:bCs/>
          <w:rtl/>
        </w:rPr>
      </w:pPr>
      <w:r>
        <w:rPr>
          <w:b/>
          <w:bCs/>
          <w:rtl/>
        </w:rPr>
        <w:t xml:space="preserve">עו"ד ח. כהן: </w:t>
      </w:r>
      <w:r>
        <w:rPr>
          <w:b/>
          <w:bCs/>
          <w:u w:val="single"/>
          <w:rtl/>
        </w:rPr>
        <w:t>אתה לא אמרת</w:t>
      </w:r>
      <w:r>
        <w:rPr>
          <w:b/>
          <w:bCs/>
          <w:rtl/>
        </w:rPr>
        <w:t>.</w:t>
      </w:r>
    </w:p>
    <w:p w:rsidR="004F54D7" w:rsidRDefault="00DC0B3D" w:rsidP="004F54D7">
      <w:pPr>
        <w:spacing w:line="360" w:lineRule="auto"/>
        <w:ind w:left="720"/>
        <w:jc w:val="both"/>
        <w:rPr>
          <w:rtl/>
        </w:rPr>
      </w:pPr>
      <w:r>
        <w:rPr>
          <w:rFonts w:hint="cs"/>
          <w:b/>
          <w:bCs/>
          <w:rtl/>
        </w:rPr>
        <w:t>האיש</w:t>
      </w:r>
      <w:r w:rsidR="004F54D7">
        <w:rPr>
          <w:b/>
          <w:bCs/>
          <w:rtl/>
        </w:rPr>
        <w:t xml:space="preserve">: </w:t>
      </w:r>
      <w:r w:rsidR="004F54D7">
        <w:rPr>
          <w:b/>
          <w:bCs/>
          <w:u w:val="single"/>
          <w:rtl/>
        </w:rPr>
        <w:t>כולם יודעים וכולם אומרים לי, אני לא אומר</w:t>
      </w:r>
      <w:r w:rsidR="004F54D7">
        <w:rPr>
          <w:b/>
          <w:bCs/>
          <w:rtl/>
        </w:rPr>
        <w:t xml:space="preserve">." (ראה בעמודים 360-361 לפרוט', </w:t>
      </w:r>
      <w:r w:rsidR="004F54D7">
        <w:rPr>
          <w:rtl/>
        </w:rPr>
        <w:t>הדגשות לא במקור)</w:t>
      </w:r>
      <w:r w:rsidR="004F54D7">
        <w:rPr>
          <w:b/>
          <w:bCs/>
          <w:rtl/>
        </w:rPr>
        <w:t>.</w:t>
      </w:r>
      <w:r w:rsidR="004F54D7">
        <w:rPr>
          <w:rtl/>
        </w:rPr>
        <w:t xml:space="preserve"> </w:t>
      </w:r>
    </w:p>
    <w:p w:rsidR="004F54D7" w:rsidRDefault="004F54D7" w:rsidP="004F54D7">
      <w:pPr>
        <w:pStyle w:val="ad"/>
        <w:spacing w:line="360" w:lineRule="auto"/>
        <w:jc w:val="both"/>
        <w:rPr>
          <w:b/>
          <w:bCs/>
          <w:rtl/>
        </w:rPr>
      </w:pPr>
    </w:p>
    <w:p w:rsidR="004F54D7" w:rsidRDefault="004F54D7" w:rsidP="004F54D7">
      <w:pPr>
        <w:pStyle w:val="ad"/>
        <w:numPr>
          <w:ilvl w:val="0"/>
          <w:numId w:val="1"/>
        </w:numPr>
        <w:spacing w:line="360" w:lineRule="auto"/>
        <w:ind w:left="357" w:hanging="357"/>
        <w:jc w:val="both"/>
      </w:pPr>
      <w:r>
        <w:rPr>
          <w:rtl/>
        </w:rPr>
        <w:t>עדותו של האיש היתה מתחמקת, ופעם אחר פעם בחקירתו, הוצגו על ידו גרסאות שונות, ומבלבלות. בעדותו בחר האיש שלא התייחס במישרין לאשר נשאל או להשיב בהקשר שונה או אחר; תחילה הכחיש באופן גורף את כלל האמירות שיוחסו לו. לאחר מכן, אישר, כי פגש חלק מהאנשים שצוינו ושוחח איתם על מערכת היחסים שלו ושל האשה.</w:t>
      </w:r>
    </w:p>
    <w:p w:rsidR="004F5FE4" w:rsidRDefault="004F5FE4" w:rsidP="004F5FE4">
      <w:pPr>
        <w:pStyle w:val="ad"/>
        <w:spacing w:line="360" w:lineRule="auto"/>
        <w:ind w:left="357"/>
        <w:jc w:val="both"/>
      </w:pPr>
    </w:p>
    <w:p w:rsidR="004F54D7" w:rsidRDefault="004F5FE4" w:rsidP="004F5FE4">
      <w:pPr>
        <w:pStyle w:val="ad"/>
        <w:numPr>
          <w:ilvl w:val="0"/>
          <w:numId w:val="1"/>
        </w:numPr>
        <w:spacing w:line="360" w:lineRule="auto"/>
        <w:ind w:left="357"/>
        <w:jc w:val="both"/>
      </w:pPr>
      <w:r>
        <w:rPr>
          <w:rtl/>
        </w:rPr>
        <w:t xml:space="preserve">הכחשתו הגורפת </w:t>
      </w:r>
      <w:r w:rsidR="004F54D7">
        <w:rPr>
          <w:rtl/>
        </w:rPr>
        <w:t>אודות האמירות השונות שיוחסו לו במישור יחסים פנים וחוץ משפחתי אינה מתיישבת עם עדותו של האיש כמכלול, ולמצער יוצרת בה בקיעים משמעותיים החותרים תחת מהימנותו.</w:t>
      </w:r>
    </w:p>
    <w:p w:rsidR="0083544F" w:rsidRDefault="0083544F" w:rsidP="0083544F">
      <w:pPr>
        <w:pStyle w:val="ad"/>
      </w:pPr>
    </w:p>
    <w:p w:rsidR="004F54D7" w:rsidRDefault="004F5FE4" w:rsidP="00EA14A8">
      <w:pPr>
        <w:pStyle w:val="ad"/>
        <w:numPr>
          <w:ilvl w:val="0"/>
          <w:numId w:val="1"/>
        </w:numPr>
        <w:spacing w:line="360" w:lineRule="auto"/>
        <w:ind w:left="357"/>
        <w:jc w:val="both"/>
        <w:rPr>
          <w:rtl/>
        </w:rPr>
      </w:pPr>
      <w:r w:rsidRPr="0083544F">
        <w:rPr>
          <w:i/>
          <w:iCs/>
          <w:rtl/>
        </w:rPr>
        <w:t xml:space="preserve">כך </w:t>
      </w:r>
      <w:r w:rsidR="004F54D7" w:rsidRPr="0083544F">
        <w:rPr>
          <w:i/>
          <w:iCs/>
          <w:rtl/>
        </w:rPr>
        <w:t>עלה ברורות מעדותו, כי הוא התחקה אחר מעשיה של האשה</w:t>
      </w:r>
      <w:r w:rsidR="004F54D7">
        <w:rPr>
          <w:rtl/>
        </w:rPr>
        <w:t xml:space="preserve"> ושאל אחרים אודותיה, כפי שציין ששאל את הבת </w:t>
      </w:r>
      <w:r w:rsidR="009C6AF6">
        <w:rPr>
          <w:rFonts w:hint="cs"/>
          <w:rtl/>
        </w:rPr>
        <w:t>י'</w:t>
      </w:r>
      <w:r w:rsidR="004F54D7">
        <w:rPr>
          <w:rtl/>
        </w:rPr>
        <w:t xml:space="preserve"> היכן היא או בפנייתו לרופא השיניים בשאלה מתי האשה טופלה אצלו (ראה דברי האיש בעמוד 359). </w:t>
      </w:r>
      <w:r w:rsidR="004F54D7" w:rsidRPr="004F5FE4">
        <w:rPr>
          <w:i/>
          <w:iCs/>
          <w:rtl/>
        </w:rPr>
        <w:t>משמע כי יצר קשר עם הגורמים שהעידו</w:t>
      </w:r>
      <w:r w:rsidR="004F54D7">
        <w:rPr>
          <w:rtl/>
        </w:rPr>
        <w:t xml:space="preserve"> ובירר על מעשיה של האשה. כך גם אישר כי שוחח עם מר </w:t>
      </w:r>
      <w:r w:rsidR="00AF19E9">
        <w:rPr>
          <w:rFonts w:hint="cs"/>
          <w:rtl/>
        </w:rPr>
        <w:t>ל'</w:t>
      </w:r>
      <w:r w:rsidR="004F54D7">
        <w:rPr>
          <w:rtl/>
        </w:rPr>
        <w:t xml:space="preserve"> על הפירוד וביקש ממנו שיחזיר את האשה (בעמוד 361, שורות 24-25); כן טען כי זה האחרון עטף את האשה במתנות, צמידים, שעונים וטלפונים (בשורות 3-6). גם את הגב' </w:t>
      </w:r>
      <w:r w:rsidR="00EA14A8">
        <w:rPr>
          <w:rFonts w:hint="cs"/>
          <w:rtl/>
        </w:rPr>
        <w:t>ע'</w:t>
      </w:r>
      <w:r w:rsidR="004F54D7">
        <w:rPr>
          <w:rtl/>
        </w:rPr>
        <w:t xml:space="preserve"> פגש בסביח והיא אמרה לו שאנשים עושים שטויות ואחר כך מצטערים על כך. האיש אף אישר מס' פעמים כי "כולם" כהגדרתו דיברו על מערכת יחסים של האשה מחוץ לנישואין. </w:t>
      </w:r>
    </w:p>
    <w:p w:rsidR="004F54D7" w:rsidRDefault="004F54D7" w:rsidP="004F54D7">
      <w:pPr>
        <w:pStyle w:val="ad"/>
      </w:pPr>
    </w:p>
    <w:p w:rsidR="004F54D7" w:rsidRDefault="004F54D7" w:rsidP="004F54D7">
      <w:pPr>
        <w:pStyle w:val="ad"/>
        <w:numPr>
          <w:ilvl w:val="0"/>
          <w:numId w:val="1"/>
        </w:numPr>
        <w:spacing w:line="360" w:lineRule="auto"/>
        <w:ind w:left="357"/>
        <w:jc w:val="both"/>
        <w:rPr>
          <w:rtl/>
        </w:rPr>
      </w:pPr>
      <w:r>
        <w:rPr>
          <w:rtl/>
        </w:rPr>
        <w:t xml:space="preserve">בתמצית אך באופן שאינו משתמע לשתי פנים, אומר כי </w:t>
      </w:r>
      <w:r>
        <w:rPr>
          <w:b/>
          <w:bCs/>
          <w:i/>
          <w:iCs/>
          <w:rtl/>
        </w:rPr>
        <w:t xml:space="preserve">עדותו </w:t>
      </w:r>
      <w:r>
        <w:rPr>
          <w:rtl/>
        </w:rPr>
        <w:t xml:space="preserve">של האיש </w:t>
      </w:r>
      <w:r>
        <w:rPr>
          <w:b/>
          <w:bCs/>
          <w:i/>
          <w:iCs/>
          <w:rtl/>
        </w:rPr>
        <w:t>לא היתה מהימנה עלי</w:t>
      </w:r>
      <w:r>
        <w:rPr>
          <w:rtl/>
        </w:rPr>
        <w:t xml:space="preserve">; לאורכה היתה העדות מתחמקת, מתפתלת, בלתי קוהרנטית והכל תוך חזרה שיטתית על טענותיו בדבר הסבל שנגרם לו מעת פרוץ הסכסוך. מבלי להקל ראש בסבלו חלילה, אציין כי מהאופן השיטתי והמוגבר שעשה האיש בטענה זו התרשמתי משימוש מכוון שתכליתו סיכול בירור העובדות לאשורן. </w:t>
      </w:r>
    </w:p>
    <w:p w:rsidR="004F54D7" w:rsidRDefault="004F54D7" w:rsidP="004F54D7">
      <w:pPr>
        <w:pStyle w:val="ad"/>
        <w:numPr>
          <w:ilvl w:val="0"/>
          <w:numId w:val="1"/>
        </w:numPr>
        <w:spacing w:line="360" w:lineRule="auto"/>
        <w:ind w:left="357"/>
        <w:jc w:val="both"/>
        <w:rPr>
          <w:rtl/>
        </w:rPr>
      </w:pPr>
      <w:r>
        <w:rPr>
          <w:rtl/>
        </w:rPr>
        <w:t xml:space="preserve">בהקשר זה אציין, כי לא מצאתי לקבל את טענתו הגורפת והכוללנית של האיש אודות העדר מהימנות כלל העדים שהעידו מטעם האשה, בהיותם אנשי שלומה ולמצער כאלו שבהם היא </w:t>
      </w:r>
      <w:r>
        <w:rPr>
          <w:rtl/>
        </w:rPr>
        <w:lastRenderedPageBreak/>
        <w:t>"שולטת" מתוקף תפקידה; מוקשה יהא לקבל טענה מעין זו על רגע העובדה שלא הוכחשה ע"י האיש, כי הוא זה אשר עירב במישרין גורמים שונים ממקום עבודתה של האשה בחשדותיו בדבר בגידתה בו.</w:t>
      </w:r>
    </w:p>
    <w:p w:rsidR="004F54D7" w:rsidRDefault="004F54D7" w:rsidP="004F54D7">
      <w:pPr>
        <w:pStyle w:val="ad"/>
      </w:pPr>
    </w:p>
    <w:p w:rsidR="004F54D7" w:rsidRDefault="004F54D7" w:rsidP="004F54D7">
      <w:pPr>
        <w:pStyle w:val="ad"/>
        <w:numPr>
          <w:ilvl w:val="0"/>
          <w:numId w:val="1"/>
        </w:numPr>
        <w:spacing w:line="360" w:lineRule="auto"/>
        <w:ind w:left="357"/>
        <w:jc w:val="both"/>
        <w:rPr>
          <w:rtl/>
        </w:rPr>
      </w:pPr>
      <w:r>
        <w:rPr>
          <w:rtl/>
        </w:rPr>
        <w:t>כך גם נחלשת משמעותית טענתו זו על רקע העובדה, כי גרסתו עומדת בדד על רקע מסכת העדויות שהובאו מטעם האשה, אשר כללה לא רק עדים שלהם זיקה למקום עבודתה אלא אף עדים</w:t>
      </w:r>
      <w:r w:rsidR="00DF5D46">
        <w:rPr>
          <w:rFonts w:hint="cs"/>
          <w:rtl/>
        </w:rPr>
        <w:t xml:space="preserve"> </w:t>
      </w:r>
      <w:r>
        <w:rPr>
          <w:rtl/>
        </w:rPr>
        <w:t>הן עדים המשתייכים הן למעגל משפחתי -גרעיני של הצדדים, הן למעגל המשפחתי המורחב, כל זאת לצד עדים המשתייכים למעגלים חיצוניים כמכרים, ואנשים ממקום עבודת האשה.</w:t>
      </w:r>
    </w:p>
    <w:p w:rsidR="004F54D7" w:rsidRDefault="004F54D7" w:rsidP="004F54D7">
      <w:pPr>
        <w:pStyle w:val="ad"/>
      </w:pPr>
    </w:p>
    <w:p w:rsidR="004F54D7" w:rsidRDefault="004F54D7" w:rsidP="004F54D7">
      <w:pPr>
        <w:pStyle w:val="ad"/>
        <w:numPr>
          <w:ilvl w:val="0"/>
          <w:numId w:val="1"/>
        </w:numPr>
        <w:spacing w:line="360" w:lineRule="auto"/>
        <w:ind w:left="357"/>
        <w:jc w:val="both"/>
        <w:rPr>
          <w:rtl/>
        </w:rPr>
      </w:pPr>
      <w:r>
        <w:rPr>
          <w:rtl/>
        </w:rPr>
        <w:t xml:space="preserve">התרשמתי מעדויות אותנטיות, אשר התיישבו עם מסכת טענות האשה והעדים, קורות הצדדים במהלך האירועים הנטענים; כך גם היה בחלק מהעדויות כדי ליישב סתירות שעלו מעדות האיש בדבר הידיעות שהיו מנת חלקם של הכלל אודות מערכות יחסים שניהלה האשה עם אנשים אחרים והופעתה הנטענת ביציאה מחדרים מושכרים. </w:t>
      </w:r>
    </w:p>
    <w:p w:rsidR="004F54D7" w:rsidRDefault="004F54D7" w:rsidP="004F54D7">
      <w:pPr>
        <w:pStyle w:val="ad"/>
      </w:pPr>
    </w:p>
    <w:p w:rsidR="004F54D7" w:rsidRDefault="004F54D7" w:rsidP="004F54D7">
      <w:pPr>
        <w:pStyle w:val="ad"/>
        <w:numPr>
          <w:ilvl w:val="0"/>
          <w:numId w:val="1"/>
        </w:numPr>
        <w:spacing w:line="360" w:lineRule="auto"/>
        <w:ind w:left="357"/>
        <w:jc w:val="both"/>
        <w:rPr>
          <w:rtl/>
        </w:rPr>
      </w:pPr>
      <w:r>
        <w:rPr>
          <w:rtl/>
        </w:rPr>
        <w:t>למעלה מזאת, התרשמתי כי התעקשותו הבלתי פוסקת של האיש על בגידת האשה והעיסוק האובססיבי שלו סביב הסוגיה הם אף שגרמו, בין היתר, לנתק ולפגיעה ביחסים בינו לבין בנותיהם של הצדדים, כפי שאלו העידו בפניי, ובכאב רב.</w:t>
      </w:r>
    </w:p>
    <w:p w:rsidR="004F54D7" w:rsidRDefault="004F54D7" w:rsidP="004F54D7">
      <w:pPr>
        <w:pStyle w:val="ad"/>
      </w:pPr>
    </w:p>
    <w:p w:rsidR="004F54D7" w:rsidRDefault="004F54D7" w:rsidP="001314BE">
      <w:pPr>
        <w:pStyle w:val="ad"/>
        <w:numPr>
          <w:ilvl w:val="0"/>
          <w:numId w:val="1"/>
        </w:numPr>
        <w:spacing w:line="360" w:lineRule="auto"/>
        <w:ind w:left="357"/>
        <w:jc w:val="both"/>
        <w:rPr>
          <w:rtl/>
        </w:rPr>
      </w:pPr>
      <w:r w:rsidRPr="00330324">
        <w:rPr>
          <w:i/>
          <w:iCs/>
          <w:rtl/>
        </w:rPr>
        <w:t xml:space="preserve">הדבר אף השתקף </w:t>
      </w:r>
      <w:r w:rsidR="00DF5D46" w:rsidRPr="00330324">
        <w:rPr>
          <w:rFonts w:hint="cs"/>
          <w:i/>
          <w:iCs/>
          <w:rtl/>
        </w:rPr>
        <w:t>ברורות בדברים שאמר האיש לבית הדין הרבני</w:t>
      </w:r>
      <w:r w:rsidR="00330324">
        <w:rPr>
          <w:rFonts w:hint="cs"/>
          <w:i/>
          <w:iCs/>
          <w:rtl/>
        </w:rPr>
        <w:t xml:space="preserve"> בדיון שנקבע לצורך אישור ההסכם שנערך קודם לפתיחת </w:t>
      </w:r>
      <w:r w:rsidR="00DF5D46" w:rsidRPr="00330324">
        <w:rPr>
          <w:rFonts w:hint="cs"/>
          <w:i/>
          <w:iCs/>
          <w:rtl/>
        </w:rPr>
        <w:t xml:space="preserve">ההליכים שלפניי, </w:t>
      </w:r>
      <w:r w:rsidR="003058EB" w:rsidRPr="00330324">
        <w:rPr>
          <w:rFonts w:hint="cs"/>
          <w:i/>
          <w:iCs/>
          <w:rtl/>
        </w:rPr>
        <w:t>לרבות הודאת האיש כי בדק את מכשיר הפלאפון של האשה</w:t>
      </w:r>
      <w:r>
        <w:rPr>
          <w:rtl/>
        </w:rPr>
        <w:t xml:space="preserve">: </w:t>
      </w:r>
      <w:r>
        <w:rPr>
          <w:b/>
          <w:bCs/>
          <w:i/>
          <w:iCs/>
          <w:rtl/>
        </w:rPr>
        <w:t xml:space="preserve">"ביה"ד: ראית שיש לה קשר עם מישהו? הבעל: ראיתי בטלפון, מדובר </w:t>
      </w:r>
      <w:r w:rsidR="00446F2A">
        <w:rPr>
          <w:rFonts w:hint="cs"/>
          <w:b/>
          <w:bCs/>
          <w:i/>
          <w:iCs/>
          <w:rtl/>
        </w:rPr>
        <w:t>ב</w:t>
      </w:r>
      <w:r w:rsidR="001314BE">
        <w:rPr>
          <w:rFonts w:hint="cs"/>
          <w:b/>
          <w:bCs/>
          <w:i/>
          <w:iCs/>
          <w:rtl/>
        </w:rPr>
        <w:t>-</w:t>
      </w:r>
      <w:r w:rsidR="001314BE" w:rsidRPr="001314BE">
        <w:rPr>
          <w:rFonts w:hint="cs"/>
          <w:b/>
          <w:bCs/>
          <w:i/>
          <w:iCs/>
          <w:sz w:val="16"/>
          <w:szCs w:val="16"/>
        </w:rPr>
        <w:t>X</w:t>
      </w:r>
      <w:r>
        <w:rPr>
          <w:b/>
          <w:bCs/>
          <w:i/>
          <w:iCs/>
          <w:rtl/>
        </w:rPr>
        <w:t xml:space="preserve">, הוא המנהל של הבנק. נראה לי שהיא שכבה איתו" </w:t>
      </w:r>
      <w:r>
        <w:rPr>
          <w:rtl/>
        </w:rPr>
        <w:t xml:space="preserve">ובהמשך: </w:t>
      </w:r>
      <w:r>
        <w:rPr>
          <w:b/>
          <w:bCs/>
          <w:rtl/>
        </w:rPr>
        <w:t>"</w:t>
      </w:r>
      <w:r w:rsidRPr="003058EB">
        <w:rPr>
          <w:b/>
          <w:bCs/>
          <w:i/>
          <w:iCs/>
          <w:rtl/>
        </w:rPr>
        <w:t>אני מוכן ללכת למכונת אמת שהיא אמרה לי "סליחה, הוא מזיין יותר טוב ממך" האשה: לא היה ולא נברא"</w:t>
      </w:r>
      <w:r>
        <w:rPr>
          <w:b/>
          <w:bCs/>
          <w:rtl/>
        </w:rPr>
        <w:t xml:space="preserve">  </w:t>
      </w:r>
      <w:r>
        <w:rPr>
          <w:rtl/>
        </w:rPr>
        <w:t>(</w:t>
      </w:r>
      <w:r w:rsidR="00EE062B">
        <w:rPr>
          <w:rFonts w:hint="cs"/>
          <w:rtl/>
        </w:rPr>
        <w:t xml:space="preserve">נספח </w:t>
      </w:r>
      <w:r w:rsidR="00D3414C">
        <w:rPr>
          <w:rFonts w:hint="cs"/>
          <w:rtl/>
        </w:rPr>
        <w:t>ג' לתצהיר עדותה הראשית של האשה</w:t>
      </w:r>
      <w:r>
        <w:rPr>
          <w:rtl/>
        </w:rPr>
        <w:t>, בעמ' 1 ש' 11-12, עמ' 2 ש' 35-36).</w:t>
      </w:r>
      <w:r w:rsidR="00EE062B">
        <w:rPr>
          <w:rFonts w:hint="cs"/>
          <w:rtl/>
        </w:rPr>
        <w:t xml:space="preserve"> עוד ר' דברי האיש בש' 19 לפרוט' </w:t>
      </w:r>
      <w:r w:rsidR="00D3414C">
        <w:rPr>
          <w:rFonts w:hint="cs"/>
          <w:rtl/>
        </w:rPr>
        <w:t>הדיון מהם עולה, כי בחן התכתבות בין האשה לבין מנהל הסניף.</w:t>
      </w:r>
    </w:p>
    <w:p w:rsidR="004F54D7" w:rsidRDefault="004F54D7" w:rsidP="004F54D7">
      <w:pPr>
        <w:pStyle w:val="ad"/>
      </w:pPr>
    </w:p>
    <w:p w:rsidR="004F54D7" w:rsidRDefault="004F54D7" w:rsidP="004F54D7">
      <w:pPr>
        <w:pStyle w:val="ad"/>
        <w:numPr>
          <w:ilvl w:val="0"/>
          <w:numId w:val="1"/>
        </w:numPr>
        <w:spacing w:line="360" w:lineRule="auto"/>
        <w:ind w:left="357"/>
        <w:jc w:val="both"/>
        <w:rPr>
          <w:rtl/>
        </w:rPr>
      </w:pPr>
      <w:r>
        <w:rPr>
          <w:rtl/>
        </w:rPr>
        <w:t xml:space="preserve">הפצת הדברים בפניות יזומות במעגלים קרובים ורחוקים כאחד, ללא מורא ובלי בושה, מלמדת כי האיש היה משוכנע בצדקת דבריו, אודות בגידותיה של האשה עם אחרים. אלא שכפי שצוין לעיל, מטעם האיש לא הועלו טענות להתקיימות ההגנות הקבועות בחוק איסור לשון הרע או בחוק הגנת הפרטיות. </w:t>
      </w:r>
    </w:p>
    <w:p w:rsidR="004F54D7" w:rsidRDefault="004F54D7" w:rsidP="004F54D7">
      <w:pPr>
        <w:pStyle w:val="ad"/>
      </w:pPr>
    </w:p>
    <w:p w:rsidR="004F54D7" w:rsidRDefault="004F54D7" w:rsidP="004F54D7">
      <w:pPr>
        <w:pStyle w:val="ad"/>
        <w:numPr>
          <w:ilvl w:val="0"/>
          <w:numId w:val="1"/>
        </w:numPr>
        <w:spacing w:line="360" w:lineRule="auto"/>
        <w:ind w:left="357"/>
        <w:jc w:val="both"/>
        <w:rPr>
          <w:rtl/>
        </w:rPr>
      </w:pPr>
      <w:r>
        <w:rPr>
          <w:rtl/>
        </w:rPr>
        <w:t xml:space="preserve">מכל מקום, אם בוחנים את הגנת "אמת דיברתי" בנסיבותיו של מקרה זה, הרי שמעשי הבגידה הנטענים לא הוכחו ומכאן כי זו אינה עומדת להגנת האיש. יתרה מזו ואף אם אמת הייתה נעוצה בחשדנות האיש, ודאי כי התנהגותו זו בהפצת לשון הרע אודות האשה בתפוצה רחבה, החוצה את </w:t>
      </w:r>
      <w:r>
        <w:rPr>
          <w:rtl/>
        </w:rPr>
        <w:lastRenderedPageBreak/>
        <w:t>מעגל בני המשפחה, למעגלים נוספים לרבות רחבים וזרים, כדוג' מכרים ולקוחות הבנק בו עובדת האשה, היא מרחיקת לכת בכל קנה מידה, זאת מבלי להקל ראש במעגל המשפחתי; וברי כי אין לה כל הצדקה בנסיבותיו של סכסוך זה.</w:t>
      </w:r>
    </w:p>
    <w:p w:rsidR="004F54D7" w:rsidRDefault="004F54D7" w:rsidP="004F54D7">
      <w:pPr>
        <w:pStyle w:val="ad"/>
      </w:pPr>
    </w:p>
    <w:p w:rsidR="004F54D7" w:rsidRDefault="004F54D7" w:rsidP="004F54D7">
      <w:pPr>
        <w:pStyle w:val="ad"/>
        <w:spacing w:line="360" w:lineRule="auto"/>
        <w:ind w:left="357"/>
        <w:jc w:val="both"/>
        <w:rPr>
          <w:b/>
          <w:bCs/>
          <w:u w:val="single"/>
          <w:rtl/>
        </w:rPr>
      </w:pPr>
      <w:r>
        <w:rPr>
          <w:b/>
          <w:bCs/>
          <w:u w:val="single"/>
          <w:rtl/>
        </w:rPr>
        <w:t xml:space="preserve">חקירת האשה </w:t>
      </w:r>
    </w:p>
    <w:p w:rsidR="004F54D7" w:rsidRDefault="004F54D7" w:rsidP="000F2FFF">
      <w:pPr>
        <w:pStyle w:val="ad"/>
        <w:numPr>
          <w:ilvl w:val="0"/>
          <w:numId w:val="1"/>
        </w:numPr>
        <w:spacing w:after="120" w:line="360" w:lineRule="auto"/>
        <w:jc w:val="both"/>
        <w:rPr>
          <w:rtl/>
        </w:rPr>
      </w:pPr>
      <w:r>
        <w:rPr>
          <w:rtl/>
        </w:rPr>
        <w:t>בחקירתה טענה האשה, כי במהלך השבעה של אמו של האיש, נודע לה מהבנות כי האיש דיבר בה סרה; כך אמר שהיא מקיימת יחסים עם מנהל ה</w:t>
      </w:r>
      <w:r w:rsidR="000F2FFF">
        <w:rPr>
          <w:rFonts w:hint="cs"/>
          <w:rtl/>
        </w:rPr>
        <w:t>סניף</w:t>
      </w:r>
      <w:r>
        <w:rPr>
          <w:rtl/>
        </w:rPr>
        <w:t xml:space="preserve"> ועם אחיינו וגם טען בפני הבת </w:t>
      </w:r>
      <w:r w:rsidR="004A07FB">
        <w:rPr>
          <w:rFonts w:hint="cs"/>
          <w:rtl/>
        </w:rPr>
        <w:t>נ'</w:t>
      </w:r>
      <w:r>
        <w:rPr>
          <w:rtl/>
        </w:rPr>
        <w:t xml:space="preserve"> שתלך לאביה החורג, הלוא הוא אחיו, אביו של האחיין (ראה בעמוד 18-19 לפרוט' מיום 26.9.2019). </w:t>
      </w:r>
    </w:p>
    <w:p w:rsidR="004F54D7" w:rsidRDefault="004F54D7" w:rsidP="004F54D7">
      <w:pPr>
        <w:pStyle w:val="ad"/>
        <w:spacing w:after="120" w:line="360" w:lineRule="auto"/>
        <w:ind w:left="360"/>
        <w:jc w:val="both"/>
      </w:pPr>
    </w:p>
    <w:p w:rsidR="004F54D7" w:rsidRDefault="004F54D7" w:rsidP="000F2FFF">
      <w:pPr>
        <w:pStyle w:val="ad"/>
        <w:numPr>
          <w:ilvl w:val="0"/>
          <w:numId w:val="1"/>
        </w:numPr>
        <w:spacing w:after="120" w:line="360" w:lineRule="auto"/>
        <w:jc w:val="both"/>
      </w:pPr>
      <w:r>
        <w:rPr>
          <w:rtl/>
        </w:rPr>
        <w:t>באשר לסד הזמנים טענה האשה כי האמירות המשפילות שנאמרו מטעם האיש התרחשו לפני חתימת הסכם הגירושין ואף לאחריו. הפגישה עם מנהל ה</w:t>
      </w:r>
      <w:r w:rsidR="000F2FFF">
        <w:rPr>
          <w:rFonts w:hint="cs"/>
          <w:rtl/>
        </w:rPr>
        <w:t>סניף</w:t>
      </w:r>
      <w:r>
        <w:rPr>
          <w:rtl/>
        </w:rPr>
        <w:t xml:space="preserve"> אשר נקרא לביתם ע"י האשה התקיימה ביום 23.7.2017 (ראה בעמוד 78 וגם בעמוד 80 לפרוט' מיום 2.10.2019). </w:t>
      </w:r>
    </w:p>
    <w:p w:rsidR="004F54D7" w:rsidRDefault="004F54D7" w:rsidP="004F54D7">
      <w:pPr>
        <w:pStyle w:val="ad"/>
      </w:pPr>
    </w:p>
    <w:p w:rsidR="004F54D7" w:rsidRDefault="004F54D7" w:rsidP="000D47AA">
      <w:pPr>
        <w:pStyle w:val="ad"/>
        <w:numPr>
          <w:ilvl w:val="0"/>
          <w:numId w:val="1"/>
        </w:numPr>
        <w:spacing w:after="120" w:line="360" w:lineRule="auto"/>
        <w:jc w:val="both"/>
        <w:rPr>
          <w:rtl/>
        </w:rPr>
      </w:pPr>
      <w:r>
        <w:rPr>
          <w:rtl/>
        </w:rPr>
        <w:t xml:space="preserve">האשה אישרה, כי העדים שזימנה לבית המשפט התקשרו אליה ואמרו לה את הדברים שנאמרו מטעם האיש (ראה בעמוד 85). ציינה כי מבין העדים שהעידו, האירועים שהתרחשו עם העדים מר </w:t>
      </w:r>
      <w:r w:rsidR="00087614">
        <w:rPr>
          <w:rFonts w:hint="cs"/>
          <w:rtl/>
        </w:rPr>
        <w:t>ל'</w:t>
      </w:r>
      <w:r>
        <w:rPr>
          <w:rtl/>
        </w:rPr>
        <w:t xml:space="preserve">, ד"ר </w:t>
      </w:r>
      <w:r w:rsidR="000D47AA">
        <w:rPr>
          <w:rFonts w:hint="cs"/>
          <w:rtl/>
        </w:rPr>
        <w:t>ת'</w:t>
      </w:r>
      <w:r>
        <w:rPr>
          <w:rtl/>
        </w:rPr>
        <w:t xml:space="preserve"> וע</w:t>
      </w:r>
      <w:r w:rsidR="000D47AA">
        <w:rPr>
          <w:rFonts w:hint="cs"/>
          <w:rtl/>
        </w:rPr>
        <w:t>'</w:t>
      </w:r>
      <w:r>
        <w:rPr>
          <w:rtl/>
        </w:rPr>
        <w:t xml:space="preserve"> היו לאחר חתימת הסכם הגירושין בחודש ספטמבר 2017 (ראה בעמוד 87). </w:t>
      </w:r>
    </w:p>
    <w:p w:rsidR="004F54D7" w:rsidRDefault="004F54D7" w:rsidP="004F54D7">
      <w:pPr>
        <w:pStyle w:val="ad"/>
        <w:spacing w:line="360" w:lineRule="auto"/>
        <w:ind w:left="357"/>
        <w:jc w:val="both"/>
        <w:rPr>
          <w:rtl/>
        </w:rPr>
      </w:pPr>
    </w:p>
    <w:p w:rsidR="004F54D7" w:rsidRDefault="004F54D7" w:rsidP="004902B7">
      <w:pPr>
        <w:pStyle w:val="ad"/>
        <w:spacing w:after="120" w:line="360" w:lineRule="auto"/>
        <w:ind w:left="360"/>
        <w:jc w:val="both"/>
        <w:rPr>
          <w:b/>
          <w:bCs/>
          <w:u w:val="single"/>
          <w:rtl/>
        </w:rPr>
      </w:pPr>
      <w:r>
        <w:rPr>
          <w:b/>
          <w:bCs/>
          <w:u w:val="single"/>
          <w:rtl/>
        </w:rPr>
        <w:t xml:space="preserve">התלונה שהוגשה להנהלת </w:t>
      </w:r>
      <w:r w:rsidR="004902B7">
        <w:rPr>
          <w:rFonts w:hint="cs"/>
          <w:b/>
          <w:bCs/>
          <w:u w:val="single"/>
          <w:rtl/>
        </w:rPr>
        <w:t>ה</w:t>
      </w:r>
      <w:r>
        <w:rPr>
          <w:b/>
          <w:bCs/>
          <w:u w:val="single"/>
          <w:rtl/>
        </w:rPr>
        <w:t xml:space="preserve">בנק  </w:t>
      </w:r>
    </w:p>
    <w:p w:rsidR="004F54D7" w:rsidRDefault="004F54D7" w:rsidP="0083544F">
      <w:pPr>
        <w:pStyle w:val="ad"/>
        <w:numPr>
          <w:ilvl w:val="0"/>
          <w:numId w:val="1"/>
        </w:numPr>
        <w:spacing w:after="120" w:line="360" w:lineRule="auto"/>
        <w:jc w:val="both"/>
        <w:rPr>
          <w:rtl/>
        </w:rPr>
      </w:pPr>
      <w:r>
        <w:rPr>
          <w:rtl/>
        </w:rPr>
        <w:t xml:space="preserve">האשה צירפה לתצהירה מכתב מיום 13.11.2017 מטעם חטיבת משאבי אנוש של הבנק, לפיו התלונה אשר הוגשה ע"י האיש אודות קיומה של מערכת יחסים רומנטית בינה לבין מנהל </w:t>
      </w:r>
      <w:r w:rsidR="0083544F">
        <w:rPr>
          <w:rFonts w:hint="cs"/>
          <w:rtl/>
        </w:rPr>
        <w:t xml:space="preserve">הסניף </w:t>
      </w:r>
      <w:r>
        <w:rPr>
          <w:rtl/>
        </w:rPr>
        <w:t xml:space="preserve">נבדקה ולא נמצא בסיס עובדתי לטענותיו של האיש ועל כן האירועים אשר דווחו אינם עולים כדי הטרדה מינית על פי החוק (ראה נספח ה לתצהיר). </w:t>
      </w:r>
    </w:p>
    <w:p w:rsidR="004F54D7" w:rsidRDefault="004F54D7" w:rsidP="004F54D7">
      <w:pPr>
        <w:pStyle w:val="ad"/>
      </w:pPr>
    </w:p>
    <w:p w:rsidR="00B14BCE" w:rsidRDefault="004F54D7" w:rsidP="007D1191">
      <w:pPr>
        <w:pStyle w:val="ad"/>
        <w:numPr>
          <w:ilvl w:val="0"/>
          <w:numId w:val="1"/>
        </w:numPr>
        <w:spacing w:after="120" w:line="360" w:lineRule="auto"/>
        <w:ind w:left="357" w:hanging="357"/>
        <w:jc w:val="both"/>
      </w:pPr>
      <w:r w:rsidRPr="00B14BCE">
        <w:rPr>
          <w:i/>
          <w:iCs/>
          <w:rtl/>
        </w:rPr>
        <w:t>בכתבי טענותיו אישר האיש, כי אכן נעשתה פנייה מטעמו</w:t>
      </w:r>
      <w:r>
        <w:rPr>
          <w:rtl/>
        </w:rPr>
        <w:t xml:space="preserve"> בטענה כי הדבר נעשה מתוך רצון להגן על האשה שהייתה נתונה ליחסי המרות מצד מעסיקה, מנהל ה</w:t>
      </w:r>
      <w:r w:rsidR="00A458E3">
        <w:rPr>
          <w:rFonts w:hint="cs"/>
          <w:rtl/>
        </w:rPr>
        <w:t>סניף</w:t>
      </w:r>
      <w:r>
        <w:rPr>
          <w:rtl/>
        </w:rPr>
        <w:t xml:space="preserve">. </w:t>
      </w:r>
      <w:r>
        <w:rPr>
          <w:b/>
          <w:bCs/>
          <w:i/>
          <w:iCs/>
          <w:rtl/>
        </w:rPr>
        <w:t>האשה מנגד טענה כי האיש נהג להגיע למקום עבודתה ולספר באוזני עובדי הבנק והלקוחות כי האשה מנהלת רומן עם מנהל ה</w:t>
      </w:r>
      <w:r w:rsidR="007D1191">
        <w:rPr>
          <w:rFonts w:hint="cs"/>
          <w:b/>
          <w:bCs/>
          <w:i/>
          <w:iCs/>
          <w:rtl/>
        </w:rPr>
        <w:t xml:space="preserve">סניף </w:t>
      </w:r>
      <w:r>
        <w:rPr>
          <w:b/>
          <w:bCs/>
          <w:i/>
          <w:iCs/>
          <w:rtl/>
        </w:rPr>
        <w:t>ובעשותו כן, גרם לה לנזק רב</w:t>
      </w:r>
      <w:r>
        <w:rPr>
          <w:rtl/>
        </w:rPr>
        <w:t xml:space="preserve">. </w:t>
      </w:r>
    </w:p>
    <w:p w:rsidR="00B14BCE" w:rsidRDefault="00B14BCE" w:rsidP="00B14BCE">
      <w:pPr>
        <w:pStyle w:val="ad"/>
        <w:rPr>
          <w:rtl/>
        </w:rPr>
      </w:pPr>
    </w:p>
    <w:p w:rsidR="004F54D7" w:rsidRDefault="004F54D7" w:rsidP="00B14BCE">
      <w:pPr>
        <w:pStyle w:val="ad"/>
        <w:spacing w:after="120" w:line="360" w:lineRule="auto"/>
        <w:ind w:left="357"/>
        <w:jc w:val="both"/>
        <w:rPr>
          <w:rtl/>
        </w:rPr>
      </w:pPr>
      <w:r>
        <w:rPr>
          <w:rtl/>
        </w:rPr>
        <w:t xml:space="preserve">בשל ההטרדה החוזרת והנשנית מצדו, הוצב בפתח הבנק שומר במשך מספר שבועות. </w:t>
      </w:r>
    </w:p>
    <w:p w:rsidR="004F54D7" w:rsidRDefault="004F54D7" w:rsidP="004F54D7">
      <w:pPr>
        <w:rPr>
          <w:rtl/>
        </w:rPr>
      </w:pPr>
    </w:p>
    <w:p w:rsidR="004F54D7" w:rsidRDefault="004F54D7" w:rsidP="0006248D">
      <w:pPr>
        <w:pStyle w:val="ad"/>
        <w:numPr>
          <w:ilvl w:val="0"/>
          <w:numId w:val="1"/>
        </w:numPr>
        <w:spacing w:line="360" w:lineRule="auto"/>
        <w:ind w:left="357" w:hanging="357"/>
        <w:jc w:val="both"/>
        <w:rPr>
          <w:rtl/>
        </w:rPr>
      </w:pPr>
      <w:r>
        <w:rPr>
          <w:rtl/>
        </w:rPr>
        <w:t xml:space="preserve">בחקירתו הציג האיש </w:t>
      </w:r>
      <w:r>
        <w:rPr>
          <w:b/>
          <w:bCs/>
          <w:i/>
          <w:iCs/>
          <w:rtl/>
        </w:rPr>
        <w:t>גרסאות שונות</w:t>
      </w:r>
      <w:r>
        <w:rPr>
          <w:rtl/>
        </w:rPr>
        <w:t xml:space="preserve"> אשר להגשת תלונה להנהלת הבנק על ידו; תחילה השיב בחיוב כי הגיש אכן תלונה ואף אמר כי העניין נבדק ואין הטרדה מינית, אחר כך טען כי אף אחד לא הגיש תלונה (ראה בעמודים 329-330 לפרוט' מיום 22.11.2020). בהמשך טען כי מנהל ה</w:t>
      </w:r>
      <w:r w:rsidR="0006248D">
        <w:rPr>
          <w:rFonts w:hint="cs"/>
          <w:rtl/>
        </w:rPr>
        <w:t>סניף</w:t>
      </w:r>
      <w:r>
        <w:rPr>
          <w:rtl/>
        </w:rPr>
        <w:t xml:space="preserve"> </w:t>
      </w:r>
      <w:r>
        <w:rPr>
          <w:rtl/>
        </w:rPr>
        <w:lastRenderedPageBreak/>
        <w:t>הוא בעל קשרים, מכיר את ההנהלה והם עשו מה שהם רוצים (שם, בעמוד 330, שורות 5-7). לטענת האיש, מנהל ה</w:t>
      </w:r>
      <w:r w:rsidR="0006248D">
        <w:rPr>
          <w:rFonts w:hint="cs"/>
          <w:rtl/>
        </w:rPr>
        <w:t>סניף</w:t>
      </w:r>
      <w:r>
        <w:rPr>
          <w:rtl/>
        </w:rPr>
        <w:t xml:space="preserve"> הוא שהזמין אותו לפגישה וביקש לקחת את האשה לגיבוש, נכנס לחייהם הפרטיים (בעמוד 329 ), אישר כי אמר להנהלה כי יש ביניהם רומן (ראה בעמוד 356, שורות 5, 7).  </w:t>
      </w:r>
    </w:p>
    <w:p w:rsidR="004F54D7" w:rsidRDefault="004F54D7" w:rsidP="004F54D7"/>
    <w:p w:rsidR="004F54D7" w:rsidRDefault="004F54D7" w:rsidP="0006248D">
      <w:pPr>
        <w:pStyle w:val="ad"/>
        <w:numPr>
          <w:ilvl w:val="0"/>
          <w:numId w:val="1"/>
        </w:numPr>
        <w:spacing w:line="360" w:lineRule="auto"/>
        <w:ind w:left="357" w:hanging="357"/>
        <w:jc w:val="both"/>
        <w:rPr>
          <w:rtl/>
        </w:rPr>
      </w:pPr>
      <w:r>
        <w:rPr>
          <w:rtl/>
        </w:rPr>
        <w:t>מנהל ה</w:t>
      </w:r>
      <w:r w:rsidR="0006248D">
        <w:rPr>
          <w:rFonts w:hint="cs"/>
          <w:rtl/>
        </w:rPr>
        <w:t>סניף</w:t>
      </w:r>
      <w:r>
        <w:rPr>
          <w:rtl/>
        </w:rPr>
        <w:t xml:space="preserve"> העיד, כי בעקבות תלונה שהוגשה להנהלת הבנק, נערכה בדיקה מדוקדקת ע"י ההנהלה לבחינת הטענות ונמצא שאין אמת בדברים (ראה בעמוד 242, שורות 7-10).</w:t>
      </w:r>
    </w:p>
    <w:p w:rsidR="004F54D7" w:rsidRDefault="004F54D7" w:rsidP="004F54D7">
      <w:pPr>
        <w:pStyle w:val="ad"/>
      </w:pPr>
    </w:p>
    <w:p w:rsidR="004F54D7" w:rsidRDefault="004F54D7" w:rsidP="00DF2FE8">
      <w:pPr>
        <w:pStyle w:val="ad"/>
        <w:numPr>
          <w:ilvl w:val="0"/>
          <w:numId w:val="1"/>
        </w:numPr>
        <w:spacing w:after="120" w:line="360" w:lineRule="auto"/>
        <w:ind w:left="357"/>
        <w:jc w:val="both"/>
        <w:rPr>
          <w:rtl/>
        </w:rPr>
      </w:pPr>
      <w:r>
        <w:rPr>
          <w:rtl/>
        </w:rPr>
        <w:t>מצאתי ליתן אמון בעדות האשה הנתמכת בעדויות עדויות מהימנות שהובאו לפניי מטעמה, לרבות בדבר היות בדיקת התלונה שהוגשה מטעם האיש כרוכה במבוכה גדולה ובאי נוחות משמעותית וכבדת משקל עבורה; קל וחומר כאשר זו נעשתה במקום עבודתה, על דרך פניה להנהלת הבנק ושעה שלא הוגשה על דעתה או מרצונה. מטבע הדברים היה בכך כדי להשפיע על האשה במקום עבודתה והגם שלא התרחש שינוי במשרתה, אין בכך כדי למעט בהשלכות פנייתו של האיש באופן זה. לא מצאתי לקבל טענת האיש, כי הפנייה להנהלת הבנק נעשתה מתוך רצון להגן על האשה מחשש לניצול יחסי מרות מצד המנהל; שהרי הוכח, כי האיש פעל תוך שהוא חדור אמונה עיוורת ויוקדת בדבר בגידת האשה בו עם מנהל ה</w:t>
      </w:r>
      <w:r w:rsidR="00DF2FE8">
        <w:rPr>
          <w:rFonts w:hint="cs"/>
          <w:rtl/>
        </w:rPr>
        <w:t>סניף</w:t>
      </w:r>
      <w:r>
        <w:rPr>
          <w:rtl/>
        </w:rPr>
        <w:t xml:space="preserve"> לצד העובדה, תוך שהפניה היתה ככל הנראה לדידו לא מתוך מוטיבציה להיטיב עם רעייתו; נהפוך הוא,  ומבלי לתת את הדעת להשלכות שיהא לצעד מעין זה על שמה הטוב ועל מטה לחמה. </w:t>
      </w:r>
    </w:p>
    <w:p w:rsidR="004F54D7" w:rsidRDefault="004F54D7" w:rsidP="004F54D7">
      <w:pPr>
        <w:pStyle w:val="ad"/>
      </w:pPr>
    </w:p>
    <w:p w:rsidR="004F54D7" w:rsidRDefault="004F54D7" w:rsidP="004F54D7">
      <w:pPr>
        <w:pStyle w:val="ad"/>
        <w:numPr>
          <w:ilvl w:val="0"/>
          <w:numId w:val="1"/>
        </w:numPr>
        <w:spacing w:after="120" w:line="360" w:lineRule="auto"/>
        <w:ind w:left="357"/>
        <w:jc w:val="both"/>
        <w:rPr>
          <w:rtl/>
        </w:rPr>
      </w:pPr>
      <w:r>
        <w:rPr>
          <w:rtl/>
        </w:rPr>
        <w:t xml:space="preserve">בכך ניתן לראות </w:t>
      </w:r>
      <w:r>
        <w:rPr>
          <w:b/>
          <w:bCs/>
          <w:i/>
          <w:iCs/>
          <w:rtl/>
        </w:rPr>
        <w:t>עליית מדרגה</w:t>
      </w:r>
      <w:r>
        <w:rPr>
          <w:rtl/>
        </w:rPr>
        <w:t xml:space="preserve"> במעשיו של האיש; שלא בחל בהפצת אמירות עולבות וטענות בדבר בגידה אודות האשה במעגלים פנימיים וחיצוניים, אלא חצה את אלה האחרונים תוך שהוא דורך ברגל גסה במקום עבודת האשה, שבו התקדמה במרוצת השנים ומילאה תפקיד בכיר, פוגע בפרטיותה ונוקט לשון הרע על דרך הפצת חשדות בלתי מבוססים לרבות לעובדי הבנק עמם עובדת האשה באופן יומיומי כמו גם לגורמי הנהלה האמונים על משרתה, קידומה והמפקחים על התנהלותה. אופן התנהלותו תרם משמעותית לפגיעה בכבודה של האשה כאדם, כבת זוג, כאם, כבת משפחה וכעובדת בכירה במקום עבודתה. </w:t>
      </w:r>
    </w:p>
    <w:p w:rsidR="004F54D7" w:rsidRDefault="004F54D7" w:rsidP="004F54D7">
      <w:pPr>
        <w:pStyle w:val="ad"/>
      </w:pPr>
    </w:p>
    <w:p w:rsidR="004F54D7" w:rsidRDefault="004F54D7" w:rsidP="004F54D7">
      <w:pPr>
        <w:pStyle w:val="ad"/>
        <w:numPr>
          <w:ilvl w:val="0"/>
          <w:numId w:val="1"/>
        </w:numPr>
        <w:spacing w:line="360" w:lineRule="auto"/>
        <w:ind w:left="357"/>
        <w:jc w:val="both"/>
        <w:rPr>
          <w:rtl/>
        </w:rPr>
      </w:pPr>
      <w:r>
        <w:rPr>
          <w:rtl/>
        </w:rPr>
        <w:t xml:space="preserve">בהינתן אשר הוכח לפניי מצאתי, כי הפרסומים תחת נסיבותיו של מקרה זה, על מאפייניהם לרבות ריבוי המעשים, השיטתיות והפגיעה במקום העבודה, עולים כדי לשון הרע גם תחת הגבולות הנורמטיבים המצמצמים של תביעות לשון הרע בשדה המשפחתי. לאור כל המקובץ לעיל, דין תביעת האשה להתקבל. </w:t>
      </w:r>
    </w:p>
    <w:p w:rsidR="004F54D7" w:rsidRDefault="004F54D7" w:rsidP="004F54D7">
      <w:pPr>
        <w:pStyle w:val="ad"/>
      </w:pPr>
    </w:p>
    <w:p w:rsidR="004F54D7" w:rsidRDefault="004F54D7" w:rsidP="00CF0620">
      <w:pPr>
        <w:pStyle w:val="ad"/>
        <w:numPr>
          <w:ilvl w:val="0"/>
          <w:numId w:val="1"/>
        </w:numPr>
        <w:spacing w:line="360" w:lineRule="auto"/>
        <w:jc w:val="both"/>
        <w:rPr>
          <w:rtl/>
        </w:rPr>
      </w:pPr>
      <w:r>
        <w:rPr>
          <w:rtl/>
        </w:rPr>
        <w:lastRenderedPageBreak/>
        <w:t xml:space="preserve">אשר להיקף החיוב בהתאם לזאת, לרבות </w:t>
      </w:r>
      <w:r w:rsidRPr="00CF0620">
        <w:rPr>
          <w:rtl/>
        </w:rPr>
        <w:t xml:space="preserve">תוך שקלול הפגיעה בפרטיותה של האשה עקב מעשי האיש, מצאתי לחייב את האיש בתשלום בסך של </w:t>
      </w:r>
      <w:r w:rsidR="00CF0620" w:rsidRPr="00CF0620">
        <w:rPr>
          <w:rFonts w:hint="cs"/>
          <w:rtl/>
        </w:rPr>
        <w:t>225</w:t>
      </w:r>
      <w:r w:rsidRPr="00CF0620">
        <w:rPr>
          <w:rtl/>
        </w:rPr>
        <w:t>,00 ₪ אשר ישולמו לידי האשה.</w:t>
      </w:r>
      <w:r>
        <w:rPr>
          <w:rtl/>
        </w:rPr>
        <w:t xml:space="preserve"> </w:t>
      </w:r>
    </w:p>
    <w:p w:rsidR="004F54D7" w:rsidRDefault="004F54D7" w:rsidP="004F54D7">
      <w:pPr>
        <w:pStyle w:val="ad"/>
        <w:spacing w:line="360" w:lineRule="auto"/>
        <w:ind w:left="357"/>
        <w:jc w:val="both"/>
      </w:pPr>
      <w:r>
        <w:rPr>
          <w:rtl/>
        </w:rPr>
        <w:t xml:space="preserve">נוסף על כך, מצאתי לאסור על האיש מלפרסם ברבים פרסומים נוספים, לרבות בכל אמצעי תקשורת או מדיה שהוא, המהווים לשון הרע כנגד האשה או פרסומים הפוגעים בפרטיותה. </w:t>
      </w:r>
    </w:p>
    <w:p w:rsidR="004F54D7" w:rsidRDefault="004F54D7" w:rsidP="004F54D7">
      <w:pPr>
        <w:pStyle w:val="ad"/>
        <w:rPr>
          <w:b/>
          <w:bCs/>
        </w:rPr>
      </w:pPr>
    </w:p>
    <w:p w:rsidR="004F54D7" w:rsidRDefault="004F54D7" w:rsidP="004F54D7">
      <w:pPr>
        <w:spacing w:line="360" w:lineRule="auto"/>
        <w:jc w:val="both"/>
        <w:rPr>
          <w:b/>
          <w:bCs/>
          <w:u w:val="single"/>
          <w:rtl/>
        </w:rPr>
      </w:pPr>
      <w:r>
        <w:rPr>
          <w:b/>
          <w:bCs/>
          <w:u w:val="single"/>
          <w:rtl/>
        </w:rPr>
        <w:t xml:space="preserve">תביעה למתן פסק דין הצהרתי </w:t>
      </w:r>
    </w:p>
    <w:p w:rsidR="004F54D7" w:rsidRDefault="004F54D7" w:rsidP="004F54D7">
      <w:pPr>
        <w:rPr>
          <w:b/>
          <w:bCs/>
          <w:u w:val="single"/>
        </w:rPr>
      </w:pPr>
    </w:p>
    <w:p w:rsidR="004F54D7" w:rsidRDefault="004F54D7" w:rsidP="004F54D7">
      <w:pPr>
        <w:rPr>
          <w:b/>
          <w:bCs/>
          <w:u w:val="single"/>
          <w:rtl/>
        </w:rPr>
      </w:pPr>
      <w:r>
        <w:rPr>
          <w:b/>
          <w:bCs/>
          <w:u w:val="single"/>
          <w:rtl/>
        </w:rPr>
        <w:t>מסגרת נורמטיבית  - סוגיית תוקפו של הסכם גירושין שלא אושר</w:t>
      </w:r>
    </w:p>
    <w:p w:rsidR="004F54D7" w:rsidRDefault="004F54D7" w:rsidP="004F54D7">
      <w:pPr>
        <w:rPr>
          <w:b/>
          <w:bCs/>
          <w:u w:val="single"/>
          <w:rtl/>
        </w:rPr>
      </w:pPr>
    </w:p>
    <w:p w:rsidR="004F54D7" w:rsidRDefault="004F54D7" w:rsidP="004F54D7">
      <w:pPr>
        <w:pStyle w:val="ad"/>
        <w:numPr>
          <w:ilvl w:val="0"/>
          <w:numId w:val="1"/>
        </w:numPr>
        <w:spacing w:after="120" w:line="360" w:lineRule="auto"/>
        <w:ind w:left="357" w:hanging="357"/>
        <w:jc w:val="both"/>
        <w:rPr>
          <w:rtl/>
        </w:rPr>
      </w:pPr>
      <w:r>
        <w:rPr>
          <w:rtl/>
        </w:rPr>
        <w:t>בהינתן מועד נישואיהם- שנת 1979- חוסים יחסי הצדדים תחת משטר איזון המשאבים הקבוע בחוק יחסי ממון בין בני זוג, התשל"ג-1973 (להלן: "</w:t>
      </w:r>
      <w:r>
        <w:rPr>
          <w:b/>
          <w:bCs/>
          <w:rtl/>
        </w:rPr>
        <w:t>חוק יחסי ממון</w:t>
      </w:r>
      <w:r>
        <w:rPr>
          <w:rtl/>
        </w:rPr>
        <w:t>"). בהלימה, הם רשאים לכרות ביניהם הסכם, הכולל תניות ממוניות ורכושיות ועם התמלא דרישות החוק, יחול בעניינם ההסדר שהוסכם.</w:t>
      </w:r>
    </w:p>
    <w:p w:rsidR="004F54D7" w:rsidRDefault="004F54D7" w:rsidP="004F54D7">
      <w:pPr>
        <w:pStyle w:val="ad"/>
        <w:spacing w:after="120" w:line="360" w:lineRule="auto"/>
        <w:ind w:left="357"/>
        <w:jc w:val="both"/>
      </w:pPr>
    </w:p>
    <w:p w:rsidR="004F54D7" w:rsidRDefault="004F54D7" w:rsidP="00647514">
      <w:pPr>
        <w:pStyle w:val="ad"/>
        <w:numPr>
          <w:ilvl w:val="0"/>
          <w:numId w:val="1"/>
        </w:numPr>
        <w:spacing w:after="120" w:line="360" w:lineRule="auto"/>
        <w:ind w:left="357" w:hanging="357"/>
        <w:jc w:val="both"/>
      </w:pPr>
      <w:r>
        <w:rPr>
          <w:rtl/>
        </w:rPr>
        <w:t xml:space="preserve">המחוקק קבע </w:t>
      </w:r>
      <w:r>
        <w:rPr>
          <w:b/>
          <w:bCs/>
          <w:i/>
          <w:iCs/>
          <w:rtl/>
        </w:rPr>
        <w:t xml:space="preserve">הסדר נורמטיבי </w:t>
      </w:r>
      <w:r w:rsidR="00647514">
        <w:rPr>
          <w:rFonts w:hint="cs"/>
          <w:b/>
          <w:bCs/>
          <w:i/>
          <w:iCs/>
          <w:rtl/>
        </w:rPr>
        <w:t>מובחן</w:t>
      </w:r>
      <w:r w:rsidR="00647514">
        <w:rPr>
          <w:rFonts w:hint="cs"/>
          <w:rtl/>
        </w:rPr>
        <w:t xml:space="preserve"> </w:t>
      </w:r>
      <w:r>
        <w:rPr>
          <w:rtl/>
        </w:rPr>
        <w:t>לאישור הסכמים מסוג זה במישור היחסים הזוגי,  המושתת</w:t>
      </w:r>
      <w:r w:rsidR="00647514">
        <w:rPr>
          <w:rtl/>
        </w:rPr>
        <w:t>, בין היתר, על בסיס תפיסת ייח</w:t>
      </w:r>
      <w:r w:rsidR="00647514">
        <w:rPr>
          <w:rFonts w:hint="cs"/>
          <w:rtl/>
        </w:rPr>
        <w:t>ודיותו</w:t>
      </w:r>
      <w:r>
        <w:rPr>
          <w:rtl/>
        </w:rPr>
        <w:t xml:space="preserve"> של קשר הנישואין (ר' ע"א 4/80 </w:t>
      </w:r>
      <w:r w:rsidRPr="00647514">
        <w:rPr>
          <w:b/>
          <w:bCs/>
          <w:rtl/>
        </w:rPr>
        <w:t xml:space="preserve">מונק נ' מונק </w:t>
      </w:r>
      <w:r>
        <w:rPr>
          <w:rtl/>
        </w:rPr>
        <w:t xml:space="preserve">פ"ד לו (3)421; </w:t>
      </w:r>
      <w:r w:rsidRPr="004A484D">
        <w:rPr>
          <w:rtl/>
        </w:rPr>
        <w:t>ע"א 169/83</w:t>
      </w:r>
      <w:r>
        <w:rPr>
          <w:rtl/>
        </w:rPr>
        <w:t xml:space="preserve">; בע"מ 7734/08 </w:t>
      </w:r>
      <w:r w:rsidRPr="00647514">
        <w:rPr>
          <w:b/>
          <w:bCs/>
          <w:rtl/>
        </w:rPr>
        <w:t xml:space="preserve">פלונית נ' פלונית </w:t>
      </w:r>
      <w:r>
        <w:rPr>
          <w:rtl/>
        </w:rPr>
        <w:t>(פורסם במאגרים האלקטרוניים, 27.4.10)).</w:t>
      </w:r>
    </w:p>
    <w:p w:rsidR="004F54D7" w:rsidRDefault="004F54D7" w:rsidP="004F54D7">
      <w:pPr>
        <w:pStyle w:val="ad"/>
        <w:rPr>
          <w:rtl/>
        </w:rPr>
      </w:pPr>
    </w:p>
    <w:p w:rsidR="004F54D7" w:rsidRDefault="004F54D7" w:rsidP="004F54D7">
      <w:pPr>
        <w:pStyle w:val="ad"/>
        <w:numPr>
          <w:ilvl w:val="0"/>
          <w:numId w:val="1"/>
        </w:numPr>
        <w:spacing w:after="120" w:line="360" w:lineRule="auto"/>
        <w:ind w:left="357" w:hanging="357"/>
        <w:jc w:val="both"/>
        <w:rPr>
          <w:rtl/>
        </w:rPr>
      </w:pPr>
      <w:r>
        <w:rPr>
          <w:rtl/>
        </w:rPr>
        <w:t>הסדר נורמטיבי זה הקבוע בסעיף 2 לחוק יחסי ממון מורה, כי הסכם ממון כהגדרת החוק,</w:t>
      </w:r>
      <w:r>
        <w:rPr>
          <w:b/>
          <w:bCs/>
          <w:i/>
          <w:iCs/>
          <w:rtl/>
        </w:rPr>
        <w:t xml:space="preserve"> טעון אישור בית המשפט לענייני משפחה או בית הדין הדתי הרלבנטי </w:t>
      </w:r>
      <w:r>
        <w:rPr>
          <w:rtl/>
        </w:rPr>
        <w:t xml:space="preserve">(ס"ק א'); עוד קובע ס"ק ב', כי אישור מעין זה לא יינתן ע"י הטריבונל השיפוטי </w:t>
      </w:r>
      <w:r>
        <w:rPr>
          <w:b/>
          <w:bCs/>
          <w:i/>
          <w:iCs/>
          <w:rtl/>
        </w:rPr>
        <w:t>"אלא לאחר שנוכח בית המשפט או בית הדין, שבני הזוג עשו את ההסכם או את השינוי בהסכמה חפשית ובהבינם את משמעותו ואת תוצאותיו."</w:t>
      </w:r>
      <w:r>
        <w:rPr>
          <w:rtl/>
        </w:rPr>
        <w:t xml:space="preserve"> כך שככלל, אישור בית המשפט מהווה תנאי לתוקפו של הסכם הממון (ר' לעניין זה לרבות לחשיבות בדבר אישור הסכמי ממון, למשל, </w:t>
      </w:r>
      <w:r w:rsidRPr="00ED6F0F">
        <w:rPr>
          <w:rtl/>
        </w:rPr>
        <w:t>ע"א 490/77</w:t>
      </w:r>
      <w:r>
        <w:rPr>
          <w:rtl/>
        </w:rPr>
        <w:t xml:space="preserve">, </w:t>
      </w:r>
      <w:r>
        <w:rPr>
          <w:b/>
          <w:bCs/>
          <w:rtl/>
        </w:rPr>
        <w:t>נציה נ' נציה</w:t>
      </w:r>
      <w:r>
        <w:rPr>
          <w:rtl/>
        </w:rPr>
        <w:t xml:space="preserve">, פ"ד ל"ב (2) 621; ע"א 4/80 </w:t>
      </w:r>
      <w:r>
        <w:rPr>
          <w:b/>
          <w:bCs/>
          <w:rtl/>
        </w:rPr>
        <w:t xml:space="preserve">חנה מונק נ' אוסקר מונק </w:t>
      </w:r>
      <w:r>
        <w:rPr>
          <w:rtl/>
        </w:rPr>
        <w:t xml:space="preserve">פ"ד לו (3)421; </w:t>
      </w:r>
      <w:r w:rsidRPr="00ED6F0F">
        <w:rPr>
          <w:rtl/>
        </w:rPr>
        <w:t>ע"א 169/83</w:t>
      </w:r>
      <w:r>
        <w:rPr>
          <w:rtl/>
        </w:rPr>
        <w:t xml:space="preserve">, </w:t>
      </w:r>
      <w:r>
        <w:rPr>
          <w:b/>
          <w:bCs/>
          <w:rtl/>
        </w:rPr>
        <w:t>שי (שרעבי) נ' שי (שרעבי)</w:t>
      </w:r>
      <w:r>
        <w:rPr>
          <w:rtl/>
        </w:rPr>
        <w:t xml:space="preserve">  פ"ד ל"ט (3) 776). </w:t>
      </w:r>
    </w:p>
    <w:p w:rsidR="004F54D7" w:rsidRDefault="004F54D7" w:rsidP="004F54D7">
      <w:pPr>
        <w:pStyle w:val="ad"/>
        <w:spacing w:after="120" w:line="360" w:lineRule="auto"/>
        <w:ind w:left="357"/>
        <w:jc w:val="both"/>
        <w:rPr>
          <w:lang w:eastAsia="he-IL"/>
        </w:rPr>
      </w:pPr>
    </w:p>
    <w:p w:rsidR="004F54D7" w:rsidRDefault="004F54D7" w:rsidP="004F54D7">
      <w:pPr>
        <w:pStyle w:val="ad"/>
        <w:numPr>
          <w:ilvl w:val="0"/>
          <w:numId w:val="1"/>
        </w:numPr>
        <w:spacing w:before="240" w:after="120" w:line="360" w:lineRule="auto"/>
        <w:ind w:left="357" w:hanging="357"/>
        <w:jc w:val="both"/>
        <w:rPr>
          <w:rFonts w:ascii="David" w:hAnsi="David"/>
          <w:b/>
          <w:bCs/>
          <w:i/>
          <w:iCs/>
        </w:rPr>
      </w:pPr>
      <w:r>
        <w:rPr>
          <w:rtl/>
        </w:rPr>
        <w:t>שאלות בדבר מעמדו של הסכם ממון שלא זכה לאישור התעוררו בפסיקה, וסוגיה זו לא זכתה לתשובה חד משמעית, כאשר "</w:t>
      </w:r>
      <w:r>
        <w:rPr>
          <w:rFonts w:ascii="David" w:hAnsi="David"/>
          <w:b/>
          <w:bCs/>
          <w:i/>
          <w:iCs/>
          <w:rtl/>
        </w:rPr>
        <w:t xml:space="preserve">מחד גיסא, </w:t>
      </w:r>
      <w:r>
        <w:rPr>
          <w:rFonts w:ascii="David" w:hAnsi="David"/>
          <w:b/>
          <w:bCs/>
          <w:i/>
          <w:iCs/>
          <w:u w:val="single"/>
          <w:rtl/>
        </w:rPr>
        <w:t>יש הסוברים כי אישור המוענק</w:t>
      </w:r>
      <w:r>
        <w:rPr>
          <w:rFonts w:ascii="David" w:hAnsi="David"/>
          <w:b/>
          <w:bCs/>
          <w:i/>
          <w:iCs/>
          <w:rtl/>
        </w:rPr>
        <w:t xml:space="preserve"> על ידי בית משפט להסכם ממון </w:t>
      </w:r>
      <w:r>
        <w:rPr>
          <w:rFonts w:ascii="David" w:hAnsi="David"/>
          <w:b/>
          <w:bCs/>
          <w:i/>
          <w:iCs/>
          <w:u w:val="single"/>
          <w:rtl/>
        </w:rPr>
        <w:t>מהווה תנאי לתקפותו</w:t>
      </w:r>
      <w:r>
        <w:rPr>
          <w:rFonts w:ascii="David" w:hAnsi="David"/>
          <w:b/>
          <w:bCs/>
          <w:i/>
          <w:iCs/>
          <w:rtl/>
        </w:rPr>
        <w:t>, ומאידך גיסא</w:t>
      </w:r>
      <w:r>
        <w:rPr>
          <w:rFonts w:ascii="David" w:hAnsi="David"/>
          <w:b/>
          <w:bCs/>
          <w:i/>
          <w:iCs/>
          <w:u w:val="single"/>
          <w:rtl/>
        </w:rPr>
        <w:t>, יש הרואים באישור זה</w:t>
      </w:r>
      <w:r>
        <w:rPr>
          <w:rFonts w:ascii="David" w:hAnsi="David"/>
          <w:b/>
          <w:bCs/>
          <w:i/>
          <w:iCs/>
          <w:rtl/>
        </w:rPr>
        <w:t xml:space="preserve"> </w:t>
      </w:r>
      <w:r>
        <w:rPr>
          <w:rFonts w:ascii="David" w:hAnsi="David"/>
          <w:b/>
          <w:bCs/>
          <w:i/>
          <w:iCs/>
          <w:u w:val="single"/>
          <w:rtl/>
        </w:rPr>
        <w:t>רובד נוסף</w:t>
      </w:r>
      <w:r>
        <w:rPr>
          <w:rFonts w:ascii="David" w:hAnsi="David"/>
          <w:b/>
          <w:bCs/>
          <w:i/>
          <w:iCs/>
          <w:rtl/>
        </w:rPr>
        <w:t xml:space="preserve"> להסכם שערכו בני הזוג, אשר לפיו, גם הסכם ממון שלא אושר על ידי בית המשפט, עשוי להיחשב להסכם תקף על פי דיני החוזים" </w:t>
      </w:r>
      <w:r>
        <w:rPr>
          <w:rFonts w:ascii="David" w:hAnsi="David"/>
          <w:rtl/>
        </w:rPr>
        <w:t xml:space="preserve">(סעיף 9 לפסה"ד של כב' השופטת ארבל בבע"מ 4547/06 </w:t>
      </w:r>
      <w:r>
        <w:rPr>
          <w:rFonts w:ascii="David" w:hAnsi="David"/>
          <w:b/>
          <w:bCs/>
          <w:rtl/>
        </w:rPr>
        <w:t xml:space="preserve">פלוני נ' פלונית </w:t>
      </w:r>
      <w:r>
        <w:rPr>
          <w:rFonts w:ascii="David" w:hAnsi="David"/>
          <w:rtl/>
        </w:rPr>
        <w:t>(פורסם במאגרים האלקטרוניים, 11.6.06, הדגשות לא במקור)).</w:t>
      </w:r>
    </w:p>
    <w:p w:rsidR="004F54D7" w:rsidRDefault="004F54D7" w:rsidP="004F54D7">
      <w:pPr>
        <w:pStyle w:val="ad"/>
      </w:pPr>
    </w:p>
    <w:p w:rsidR="004F54D7" w:rsidRDefault="004F54D7" w:rsidP="004F54D7">
      <w:pPr>
        <w:pStyle w:val="ad"/>
        <w:numPr>
          <w:ilvl w:val="0"/>
          <w:numId w:val="1"/>
        </w:numPr>
        <w:spacing w:before="240" w:after="120" w:line="360" w:lineRule="auto"/>
        <w:ind w:left="357" w:hanging="357"/>
        <w:jc w:val="both"/>
        <w:rPr>
          <w:rStyle w:val="normal-h"/>
          <w:rFonts w:ascii="David" w:hAnsi="David"/>
          <w:b/>
          <w:bCs/>
          <w:i/>
          <w:iCs/>
          <w:rtl/>
        </w:rPr>
      </w:pPr>
      <w:r>
        <w:rPr>
          <w:rtl/>
        </w:rPr>
        <w:t xml:space="preserve">על בסיס דעת האחרונים, התפתחה  </w:t>
      </w:r>
      <w:r>
        <w:rPr>
          <w:b/>
          <w:bCs/>
          <w:i/>
          <w:iCs/>
          <w:rtl/>
        </w:rPr>
        <w:t xml:space="preserve">דוקטורינה פסיקתית </w:t>
      </w:r>
      <w:r>
        <w:rPr>
          <w:rtl/>
        </w:rPr>
        <w:t xml:space="preserve">(כלשון כב' השופט רובינשטיין, </w:t>
      </w:r>
      <w:r>
        <w:rPr>
          <w:rtl/>
        </w:rPr>
        <w:br/>
        <w:t xml:space="preserve">בע"מ 7734/08 לעיל, </w:t>
      </w:r>
      <w:r>
        <w:rPr>
          <w:rFonts w:ascii="David" w:hAnsi="David"/>
          <w:rtl/>
        </w:rPr>
        <w:t>ס' י"ז לפסה"ד)</w:t>
      </w:r>
      <w:r>
        <w:rPr>
          <w:rtl/>
        </w:rPr>
        <w:t xml:space="preserve">, המעניקה להסכם ממון שלא אושר </w:t>
      </w:r>
      <w:r>
        <w:rPr>
          <w:b/>
          <w:bCs/>
          <w:i/>
          <w:iCs/>
          <w:rtl/>
        </w:rPr>
        <w:t>תוקף מעשי</w:t>
      </w:r>
      <w:r>
        <w:rPr>
          <w:rtl/>
        </w:rPr>
        <w:t xml:space="preserve">, תחת הכרה, כי בהתקיימן של נסיבות מסוימות יהא בשיקולי תום לב, מניעות או השתק כדי לדחות טענת צד כנגד תוקפו של הסכם ממון שלא אושר (ר' </w:t>
      </w:r>
      <w:r w:rsidRPr="00ED6F0F">
        <w:rPr>
          <w:rtl/>
        </w:rPr>
        <w:t xml:space="preserve">ע"א 151/85 </w:t>
      </w:r>
      <w:r w:rsidRPr="00ED6F0F">
        <w:rPr>
          <w:b/>
          <w:bCs/>
          <w:rtl/>
        </w:rPr>
        <w:t>רודן נ' רודן</w:t>
      </w:r>
      <w:r w:rsidRPr="00ED6F0F">
        <w:rPr>
          <w:rtl/>
        </w:rPr>
        <w:t>, פ"ד לט</w:t>
      </w:r>
      <w:r>
        <w:rPr>
          <w:rStyle w:val="normal-h"/>
          <w:rtl/>
        </w:rPr>
        <w:t xml:space="preserve">(3) 186). </w:t>
      </w:r>
    </w:p>
    <w:p w:rsidR="004F54D7" w:rsidRDefault="004F54D7" w:rsidP="004F54D7">
      <w:pPr>
        <w:pStyle w:val="ad"/>
        <w:spacing w:before="240" w:after="120" w:line="360" w:lineRule="auto"/>
        <w:ind w:left="357"/>
        <w:jc w:val="both"/>
        <w:rPr>
          <w:rStyle w:val="normal-h"/>
          <w:rFonts w:ascii="David" w:hAnsi="David"/>
          <w:b/>
          <w:bCs/>
          <w:i/>
          <w:iCs/>
        </w:rPr>
      </w:pPr>
    </w:p>
    <w:p w:rsidR="004F54D7" w:rsidRDefault="004F54D7" w:rsidP="004F54D7">
      <w:pPr>
        <w:pStyle w:val="ad"/>
        <w:numPr>
          <w:ilvl w:val="0"/>
          <w:numId w:val="1"/>
        </w:numPr>
        <w:spacing w:before="240" w:after="120" w:line="360" w:lineRule="auto"/>
        <w:jc w:val="both"/>
        <w:rPr>
          <w:rStyle w:val="normal-h"/>
          <w:rFonts w:ascii="David" w:hAnsi="David"/>
          <w:b/>
          <w:bCs/>
          <w:i/>
          <w:iCs/>
          <w:rtl/>
        </w:rPr>
      </w:pPr>
      <w:r>
        <w:rPr>
          <w:rtl/>
        </w:rPr>
        <w:t>במקרים מעין אלה, ה</w:t>
      </w:r>
      <w:r>
        <w:rPr>
          <w:i/>
          <w:iCs/>
          <w:rtl/>
        </w:rPr>
        <w:t>בחינה</w:t>
      </w:r>
      <w:r>
        <w:rPr>
          <w:rtl/>
        </w:rPr>
        <w:t xml:space="preserve"> </w:t>
      </w:r>
      <w:r>
        <w:rPr>
          <w:b/>
          <w:bCs/>
          <w:rtl/>
        </w:rPr>
        <w:t xml:space="preserve">היא </w:t>
      </w:r>
      <w:r>
        <w:rPr>
          <w:b/>
          <w:bCs/>
          <w:i/>
          <w:iCs/>
          <w:rtl/>
        </w:rPr>
        <w:t>עובדתית והיא קודמת לזו המשפטית</w:t>
      </w:r>
      <w:r>
        <w:rPr>
          <w:i/>
          <w:iCs/>
          <w:rtl/>
        </w:rPr>
        <w:t xml:space="preserve"> </w:t>
      </w:r>
      <w:r>
        <w:rPr>
          <w:rtl/>
        </w:rPr>
        <w:t xml:space="preserve">ועיקרה הכרעה בשאלה: </w:t>
      </w:r>
      <w:r>
        <w:rPr>
          <w:rFonts w:ascii="David" w:hAnsi="David"/>
          <w:i/>
          <w:iCs/>
          <w:spacing w:val="10"/>
          <w:rtl/>
        </w:rPr>
        <w:t>האם נהגו הצדדים בהתאם לאמור בהסכם?</w:t>
      </w:r>
      <w:r>
        <w:rPr>
          <w:rFonts w:ascii="David" w:hAnsi="David"/>
          <w:b/>
          <w:bCs/>
          <w:i/>
          <w:iCs/>
          <w:rtl/>
        </w:rPr>
        <w:t xml:space="preserve"> </w:t>
      </w:r>
      <w:r>
        <w:rPr>
          <w:rFonts w:ascii="David" w:hAnsi="David"/>
          <w:rtl/>
        </w:rPr>
        <w:t>(</w:t>
      </w:r>
      <w:r>
        <w:rPr>
          <w:rtl/>
        </w:rPr>
        <w:t xml:space="preserve">בע"מ 7734/08 לעיל, </w:t>
      </w:r>
      <w:r>
        <w:rPr>
          <w:rFonts w:ascii="David" w:hAnsi="David"/>
          <w:rtl/>
        </w:rPr>
        <w:t xml:space="preserve">ס' י"א לפסה"ד); מכאן כי עסקינן </w:t>
      </w:r>
      <w:r>
        <w:rPr>
          <w:rFonts w:ascii="David" w:hAnsi="David"/>
          <w:b/>
          <w:bCs/>
          <w:i/>
          <w:iCs/>
          <w:rtl/>
        </w:rPr>
        <w:t>ב</w:t>
      </w:r>
      <w:r>
        <w:rPr>
          <w:rStyle w:val="normal-h"/>
          <w:rFonts w:ascii="David" w:hAnsi="David"/>
          <w:b/>
          <w:bCs/>
          <w:i/>
          <w:iCs/>
          <w:rtl/>
        </w:rPr>
        <w:t>מבחן</w:t>
      </w:r>
      <w:r>
        <w:rPr>
          <w:rStyle w:val="normal-h"/>
          <w:rFonts w:ascii="David" w:hAnsi="David"/>
          <w:rtl/>
        </w:rPr>
        <w:t xml:space="preserve"> </w:t>
      </w:r>
      <w:r>
        <w:rPr>
          <w:rStyle w:val="normal-h"/>
          <w:rFonts w:ascii="David" w:hAnsi="David"/>
          <w:b/>
          <w:bCs/>
          <w:i/>
          <w:iCs/>
          <w:rtl/>
        </w:rPr>
        <w:t>נסיבתי ותלוי עובדות והתרשמות בית המשפט</w:t>
      </w:r>
      <w:r>
        <w:rPr>
          <w:rStyle w:val="normal-h"/>
          <w:rFonts w:ascii="David" w:hAnsi="David"/>
          <w:rtl/>
        </w:rPr>
        <w:t>.</w:t>
      </w:r>
    </w:p>
    <w:p w:rsidR="004F54D7" w:rsidRDefault="004F54D7" w:rsidP="004F54D7">
      <w:pPr>
        <w:pStyle w:val="ad"/>
        <w:spacing w:before="240" w:after="120" w:line="360" w:lineRule="auto"/>
        <w:ind w:left="357"/>
        <w:jc w:val="both"/>
        <w:rPr>
          <w:rStyle w:val="normal-h"/>
          <w:rFonts w:ascii="David" w:hAnsi="David"/>
          <w:b/>
          <w:bCs/>
          <w:i/>
          <w:iCs/>
        </w:rPr>
      </w:pPr>
    </w:p>
    <w:p w:rsidR="004F54D7" w:rsidRDefault="004F54D7" w:rsidP="004F54D7">
      <w:pPr>
        <w:pStyle w:val="ad"/>
        <w:numPr>
          <w:ilvl w:val="0"/>
          <w:numId w:val="1"/>
        </w:numPr>
        <w:spacing w:before="240" w:after="120" w:line="360" w:lineRule="auto"/>
        <w:ind w:left="357" w:hanging="357"/>
        <w:jc w:val="both"/>
      </w:pPr>
      <w:r>
        <w:rPr>
          <w:rStyle w:val="normal-h"/>
          <w:rFonts w:ascii="David" w:hAnsi="David"/>
          <w:rtl/>
        </w:rPr>
        <w:t>תוכן קונקרטי ומשמעותי לשיקולי בית המשפט, תחת מבחן זה, יצק כב' השופט סילמן בפסיקתו, בקובעו, כי</w:t>
      </w:r>
      <w:r>
        <w:rPr>
          <w:rStyle w:val="normal-h"/>
          <w:b/>
          <w:bCs/>
          <w:i/>
          <w:iCs/>
          <w:rtl/>
        </w:rPr>
        <w:t xml:space="preserve"> "השאלה בסופו של יום הנה שאלה בעובדה. האם ניתן לראות את הצדדים ככאלו אשר סברו שגם ללא אישור ההסכם ראוי ונכון להתקיים לפי הוראותיו; האם הצדדים הסתמכו על ההסכם וביצעו חלק מהותי מהוראותיו; האם הועברו וחולקו נכסים מכוח ההסכם; מהו הזמן שחלף מאז כריתת ההסכם; מהן הסיבות לאי אישור ההסכם ועוד. [...] במאזן השיקולים הכולל, שאלת השאלות הנה האם העלאת הטענה בדבר חוסר תוקפו של ההסכם יוצרת תחושה קשה של חוסר תום לב, וחוסר נוחות, המצדיקים חריגה מהוראות החוק, שמא מדובר בצד תמים אשר סבר כי הוראות ההסכם משוללות תוקף או טרם נכנסו לתוקף. ההתרשמות הנה עובדתית, והנה תוצאה של מכלול התשובות לשאלות לעיל." </w:t>
      </w:r>
      <w:r>
        <w:rPr>
          <w:rStyle w:val="normal-h"/>
          <w:rtl/>
        </w:rPr>
        <w:t xml:space="preserve">(ר' </w:t>
      </w:r>
      <w:r>
        <w:rPr>
          <w:rFonts w:ascii="David" w:hAnsi="David"/>
          <w:color w:val="000000"/>
          <w:rtl/>
        </w:rPr>
        <w:t xml:space="preserve">תמש (קריות) 14206-06-09 </w:t>
      </w:r>
      <w:r>
        <w:rPr>
          <w:rFonts w:ascii="David" w:hAnsi="David"/>
          <w:b/>
          <w:bCs/>
          <w:color w:val="000000"/>
          <w:rtl/>
        </w:rPr>
        <w:t xml:space="preserve">פלונית נ' פלוני </w:t>
      </w:r>
      <w:r>
        <w:rPr>
          <w:rFonts w:ascii="David" w:hAnsi="David"/>
          <w:color w:val="000000"/>
          <w:rtl/>
        </w:rPr>
        <w:t>(פורסם במאגרים האלקטרוניים, 11.9.11)).</w:t>
      </w:r>
    </w:p>
    <w:p w:rsidR="004F54D7" w:rsidRDefault="004F54D7" w:rsidP="004F54D7">
      <w:pPr>
        <w:pStyle w:val="ad"/>
        <w:rPr>
          <w:rFonts w:ascii="Arial" w:hAnsi="Arial"/>
          <w:highlight w:val="darkCyan"/>
        </w:rPr>
      </w:pPr>
    </w:p>
    <w:p w:rsidR="004F54D7" w:rsidRDefault="004F54D7" w:rsidP="004F54D7">
      <w:pPr>
        <w:numPr>
          <w:ilvl w:val="0"/>
          <w:numId w:val="1"/>
        </w:numPr>
        <w:spacing w:line="360" w:lineRule="auto"/>
        <w:contextualSpacing/>
        <w:jc w:val="both"/>
        <w:rPr>
          <w:rFonts w:ascii="Arial" w:hAnsi="Arial"/>
        </w:rPr>
      </w:pPr>
      <w:r>
        <w:rPr>
          <w:rFonts w:ascii="Arial" w:hAnsi="Arial"/>
          <w:rtl/>
        </w:rPr>
        <w:t>לצד זאת ראוי להדגיש וביתר שאת, כי כב' השופט רובינשטיין הדן בדוקטרינה זו, קובע, כי המדובר</w:t>
      </w:r>
      <w:r>
        <w:rPr>
          <w:rFonts w:ascii="Arial" w:hAnsi="Arial"/>
          <w:b/>
          <w:bCs/>
          <w:rtl/>
        </w:rPr>
        <w:t xml:space="preserve"> </w:t>
      </w:r>
      <w:r>
        <w:rPr>
          <w:rFonts w:ascii="Arial" w:hAnsi="Arial"/>
          <w:b/>
          <w:bCs/>
          <w:i/>
          <w:iCs/>
          <w:rtl/>
        </w:rPr>
        <w:t xml:space="preserve">בחריג לדרך המלך </w:t>
      </w:r>
      <w:r>
        <w:rPr>
          <w:rFonts w:ascii="Arial" w:hAnsi="Arial"/>
          <w:rtl/>
        </w:rPr>
        <w:t xml:space="preserve">בדבר אישור הסכם ממון כדין בהתאם להוראות חוק יחסי ממון; על כן ובהקבלה מדיני החוזים – כפי שרק במקרים חריגים יחייב צדדים  חוזה שלא נחתם מכוח עקרון תום הלב, כך בהלימה יחייב את הצדדים במשורה הסכם ממון שלא אושר, הגם שנחתם; מצב דברים העולה בקנה אחד עם הרציונאלים שבבסיס חוק יחסי ממון בקביעת המנגנון הייחודי כאמור לעיל כמו גם עם וודאות משפטית (ר' בע"מ 7734/08 לעיל, סעיף י"ח). </w:t>
      </w:r>
    </w:p>
    <w:p w:rsidR="00157E8C" w:rsidRDefault="00157E8C" w:rsidP="00157E8C">
      <w:pPr>
        <w:pStyle w:val="ad"/>
        <w:rPr>
          <w:rFonts w:ascii="Arial" w:hAnsi="Arial"/>
          <w:rtl/>
        </w:rPr>
      </w:pPr>
    </w:p>
    <w:p w:rsidR="004F54D7" w:rsidRDefault="004F54D7" w:rsidP="004F54D7">
      <w:pPr>
        <w:spacing w:line="360" w:lineRule="auto"/>
        <w:jc w:val="both"/>
        <w:rPr>
          <w:rFonts w:ascii="Arial" w:hAnsi="Arial"/>
          <w:b/>
          <w:bCs/>
          <w:u w:val="single"/>
          <w:rtl/>
        </w:rPr>
      </w:pPr>
      <w:r>
        <w:rPr>
          <w:rFonts w:ascii="Arial" w:hAnsi="Arial"/>
          <w:b/>
          <w:bCs/>
          <w:u w:val="single"/>
          <w:rtl/>
        </w:rPr>
        <w:t>וליישום בנסיבותינו</w:t>
      </w:r>
    </w:p>
    <w:p w:rsidR="004F54D7" w:rsidRDefault="004F54D7" w:rsidP="004F54D7">
      <w:pPr>
        <w:pStyle w:val="ad"/>
        <w:numPr>
          <w:ilvl w:val="0"/>
          <w:numId w:val="1"/>
        </w:numPr>
        <w:spacing w:after="120" w:line="360" w:lineRule="auto"/>
        <w:ind w:left="357" w:hanging="357"/>
        <w:jc w:val="both"/>
        <w:rPr>
          <w:rtl/>
        </w:rPr>
      </w:pPr>
      <w:r>
        <w:rPr>
          <w:rtl/>
        </w:rPr>
        <w:t xml:space="preserve">במקרה זה, אין מחלוקת, כי ההסכם שבלב המחלוקת </w:t>
      </w:r>
      <w:r>
        <w:rPr>
          <w:b/>
          <w:bCs/>
          <w:i/>
          <w:iCs/>
          <w:rtl/>
        </w:rPr>
        <w:t>הסכם גירושין הוא</w:t>
      </w:r>
      <w:r>
        <w:rPr>
          <w:rtl/>
        </w:rPr>
        <w:t>; קרי: הסכם ממון כולל המסיים את היחסים שבין הצדדים, לרבות הרכושיים; אין אף חולק, כי ההסכם, מושא המחלוקת, לא אושר, זאת הגם שנקבע מועד לאישורו בבית הדין הרבני.</w:t>
      </w:r>
    </w:p>
    <w:p w:rsidR="000149A0" w:rsidRDefault="000149A0" w:rsidP="000149A0">
      <w:pPr>
        <w:pStyle w:val="ad"/>
        <w:spacing w:after="120" w:line="360" w:lineRule="auto"/>
        <w:ind w:left="357"/>
        <w:jc w:val="both"/>
      </w:pPr>
    </w:p>
    <w:p w:rsidR="004F54D7" w:rsidRDefault="004F54D7" w:rsidP="000149A0">
      <w:pPr>
        <w:pStyle w:val="ad"/>
        <w:numPr>
          <w:ilvl w:val="0"/>
          <w:numId w:val="1"/>
        </w:numPr>
        <w:spacing w:after="120" w:line="360" w:lineRule="auto"/>
        <w:ind w:left="357" w:hanging="357"/>
        <w:jc w:val="both"/>
      </w:pPr>
      <w:r>
        <w:rPr>
          <w:rtl/>
        </w:rPr>
        <w:lastRenderedPageBreak/>
        <w:t>עיקר יהבו של האיש בטענה, כי הצדדים פעלו בהתאם להסכם ועל כן חרף אי אישורו יש מקום להעניק לו תוקף; מנגד טוענת האשה, כי בנסיבות העניין ובהעדר אישורו על ידי בית הדין במועד שנקבע לצורך כך, ובמכלול הנסיבות של הסכסוך דנא חתימתה על הסכם הגירושין נבעה מלחצים רבים בהם הייתה נתונה כפועל יוצא מהתנהלותו האלימה של האיש; ועל כן כבר במעמד אישור ההסכם בבית הדין הרבני חזרה בה מהחתימה על ההסכם העושק וכראיה סירובו של בית הדין הרבני לאשר את ההסכם.</w:t>
      </w:r>
    </w:p>
    <w:p w:rsidR="004F54D7" w:rsidRDefault="004F54D7" w:rsidP="004F54D7">
      <w:pPr>
        <w:pStyle w:val="ad"/>
      </w:pPr>
    </w:p>
    <w:p w:rsidR="004F54D7" w:rsidRDefault="004F54D7" w:rsidP="004F54D7">
      <w:pPr>
        <w:pStyle w:val="ad"/>
        <w:numPr>
          <w:ilvl w:val="0"/>
          <w:numId w:val="1"/>
        </w:numPr>
        <w:spacing w:after="160" w:line="360" w:lineRule="auto"/>
        <w:ind w:left="357" w:hanging="357"/>
        <w:jc w:val="both"/>
        <w:rPr>
          <w:rFonts w:ascii="David" w:hAnsi="David"/>
          <w:rtl/>
        </w:rPr>
      </w:pPr>
      <w:r>
        <w:rPr>
          <w:rtl/>
        </w:rPr>
        <w:t xml:space="preserve">ההסכם נקבע לאישור בפני בית הדין הרבני ביום 14.11.17; כאמור, מפרוטוקול הדיון שצורף לתיק, עולה כי </w:t>
      </w:r>
      <w:r>
        <w:rPr>
          <w:b/>
          <w:bCs/>
          <w:i/>
          <w:iCs/>
          <w:rtl/>
        </w:rPr>
        <w:t xml:space="preserve">בית הדין הרבני סרב לאשר את ההסכם ומביע את עמדתו ביחס להסכם: </w:t>
      </w:r>
      <w:r>
        <w:rPr>
          <w:rFonts w:ascii="David" w:hAnsi="David"/>
          <w:b/>
          <w:bCs/>
          <w:rtl/>
        </w:rPr>
        <w:t xml:space="preserve">"זה הסכם של עושק. אנחנו לא נאשר את ההסכם." </w:t>
      </w:r>
      <w:r>
        <w:rPr>
          <w:rFonts w:ascii="David" w:hAnsi="David"/>
          <w:rtl/>
        </w:rPr>
        <w:t xml:space="preserve">(עמ' 2 לפרו' ש' 53) וכן בהמשך </w:t>
      </w:r>
      <w:r>
        <w:rPr>
          <w:rFonts w:ascii="David" w:hAnsi="David"/>
          <w:b/>
          <w:bCs/>
          <w:rtl/>
        </w:rPr>
        <w:t>"הפרוטוקול נכתב. תפתחו תביעות, ההסכם הוא לא הסכם הגיוני" (עמ' 2 ש' 55); כן קיימות הערות נוספות של ביה"ד ובהן התרשמותו כי האשה נותנת לאיש את הכל (ש' 41 עמ' 2)</w:t>
      </w:r>
    </w:p>
    <w:p w:rsidR="004F54D7" w:rsidRDefault="004F54D7" w:rsidP="004F54D7">
      <w:pPr>
        <w:pStyle w:val="ad"/>
      </w:pPr>
    </w:p>
    <w:p w:rsidR="004F54D7" w:rsidRDefault="004F54D7" w:rsidP="004F54D7">
      <w:pPr>
        <w:pStyle w:val="ad"/>
        <w:numPr>
          <w:ilvl w:val="0"/>
          <w:numId w:val="1"/>
        </w:numPr>
        <w:spacing w:after="160" w:line="360" w:lineRule="auto"/>
        <w:ind w:left="357" w:hanging="357"/>
        <w:jc w:val="both"/>
        <w:rPr>
          <w:rFonts w:ascii="David" w:hAnsi="David"/>
          <w:rtl/>
        </w:rPr>
      </w:pPr>
      <w:r>
        <w:rPr>
          <w:rtl/>
        </w:rPr>
        <w:t>כאן המקום להידרש לנסיבות הסכסוך הקונקרטי שבין הצדדים ולבדוק האמנם מתקיים החריג המצדיק הכרה בתוקפו של ההסכם, הגם שלא אושר, זאת תחת מבחני הפסיקה, כאמור.</w:t>
      </w:r>
    </w:p>
    <w:p w:rsidR="007F4084" w:rsidRDefault="007F4084" w:rsidP="007F4084">
      <w:pPr>
        <w:pStyle w:val="ad"/>
        <w:spacing w:after="120" w:line="360" w:lineRule="auto"/>
        <w:ind w:left="357"/>
        <w:jc w:val="both"/>
      </w:pPr>
    </w:p>
    <w:p w:rsidR="004F54D7" w:rsidRDefault="004F54D7" w:rsidP="007F4084">
      <w:pPr>
        <w:pStyle w:val="ad"/>
        <w:numPr>
          <w:ilvl w:val="0"/>
          <w:numId w:val="1"/>
        </w:numPr>
        <w:spacing w:after="120" w:line="360" w:lineRule="auto"/>
        <w:ind w:left="357" w:hanging="357"/>
        <w:jc w:val="both"/>
      </w:pPr>
      <w:r>
        <w:rPr>
          <w:rtl/>
        </w:rPr>
        <w:t xml:space="preserve">לכתב התביעה צירף האיש מסמך הנושא את הכותרת "הסכם חלוקת ממון", אשר נערך בנוכחות בני הזוג ובנותיהם </w:t>
      </w:r>
      <w:r>
        <w:rPr>
          <w:b/>
          <w:bCs/>
          <w:u w:val="single"/>
          <w:rtl/>
        </w:rPr>
        <w:t xml:space="preserve">ביום 23.7.17 </w:t>
      </w:r>
      <w:r>
        <w:rPr>
          <w:rtl/>
        </w:rPr>
        <w:t>(להלן: "</w:t>
      </w:r>
      <w:r>
        <w:rPr>
          <w:b/>
          <w:bCs/>
          <w:rtl/>
        </w:rPr>
        <w:t>הסכם חלוקת הממון</w:t>
      </w:r>
      <w:r>
        <w:rPr>
          <w:rtl/>
        </w:rPr>
        <w:t>");</w:t>
      </w:r>
    </w:p>
    <w:p w:rsidR="004F54D7" w:rsidRDefault="004F54D7" w:rsidP="004F54D7">
      <w:pPr>
        <w:pStyle w:val="ad"/>
      </w:pPr>
    </w:p>
    <w:p w:rsidR="004F54D7" w:rsidRDefault="004F54D7" w:rsidP="004F54D7">
      <w:pPr>
        <w:pStyle w:val="ad"/>
        <w:spacing w:after="120" w:line="360" w:lineRule="auto"/>
        <w:ind w:left="357"/>
        <w:jc w:val="both"/>
        <w:rPr>
          <w:rtl/>
        </w:rPr>
      </w:pPr>
      <w:r>
        <w:rPr>
          <w:rtl/>
        </w:rPr>
        <w:t xml:space="preserve">ותונח כאן העובדה, כי </w:t>
      </w:r>
      <w:r>
        <w:rPr>
          <w:b/>
          <w:bCs/>
          <w:i/>
          <w:iCs/>
          <w:u w:val="single"/>
          <w:rtl/>
        </w:rPr>
        <w:t>זהו אותו המועד</w:t>
      </w:r>
      <w:r>
        <w:rPr>
          <w:b/>
          <w:bCs/>
          <w:i/>
          <w:iCs/>
          <w:rtl/>
        </w:rPr>
        <w:t xml:space="preserve"> שבו הגיע מנהל סניף הבנק לבית הצדדים, כמפורט בהרחבה בדיון לעיל בהליך בדבר לשון הרע</w:t>
      </w:r>
      <w:r>
        <w:rPr>
          <w:rtl/>
        </w:rPr>
        <w:t>.</w:t>
      </w:r>
    </w:p>
    <w:p w:rsidR="004F54D7" w:rsidRDefault="004F54D7" w:rsidP="004F54D7">
      <w:pPr>
        <w:pStyle w:val="ad"/>
        <w:spacing w:after="120" w:line="360" w:lineRule="auto"/>
        <w:ind w:left="357"/>
        <w:jc w:val="both"/>
      </w:pPr>
    </w:p>
    <w:p w:rsidR="004F54D7" w:rsidRDefault="004F54D7" w:rsidP="004F54D7">
      <w:pPr>
        <w:pStyle w:val="ad"/>
        <w:spacing w:after="120" w:line="360" w:lineRule="auto"/>
        <w:ind w:left="357"/>
        <w:jc w:val="both"/>
        <w:rPr>
          <w:rtl/>
        </w:rPr>
      </w:pPr>
      <w:r>
        <w:rPr>
          <w:rtl/>
        </w:rPr>
        <w:t xml:space="preserve">להלן יפורטו עיקרי ההסכמות המצוינות בו: עזיבת האשה את דירת המגורים החל מיום 23.7.2017 והעברת חלקה בדירה לידי האיש; האשה תפעל לכיסוי יתרת המשכנתא המוטלת על הדירה, בסך של 230,000 ₪ וכן תמשיך לשלם את הלוואות הצדדים בסך של 217,000 ₪; החל מיום 1.8.2017 יישא האיש בתשלומי אחזקת הדירה, חשמל, מים, גז מיסים, ועד בית, כבלים וכו'; האשה אף מוותרת על דרישותיה ביחס לחלקה בדירה שירש האיש מאמו, אף בהתייחס לחלק שנרכש מאחיו של האיש; האיש מוותר על דרישותיו ביחס לזכויותיה הצבורות של האשה ממקום עבודתה, לרבות משכורתה החודשית, קופות גמל ופנסיה; הרכבים של כל אחד מבני הזוג יוותר על שמו ובבעלותו; החשבון המשותף יעבור לבעלותה של האשה והאיש יפתח חשבון בנק נפרד, אליו יועברו הוראות הקבע של הוצאות אחזקת המדור; הצדדים מתחייבים לפעול לפתיחת תיק להסדרת הגט בבית הדין הרבני בסמוך לאחר מכירת הדירה, כאשר האיש מתחייב למתן </w:t>
      </w:r>
      <w:r>
        <w:rPr>
          <w:rtl/>
        </w:rPr>
        <w:lastRenderedPageBreak/>
        <w:t xml:space="preserve">הגט, אחרת הסכם זה מובטל בדיעבד.באם טרם ינתן הגט, יחוזקו כספי מכר הדירה בבעלות שני הצדדים, עד להסדרת הגט. הערך המקסימלי בו תוצע הדירה למכירה הינו 2.1 מיליון ₪. </w:t>
      </w:r>
    </w:p>
    <w:p w:rsidR="004F54D7" w:rsidRDefault="004F54D7" w:rsidP="004F54D7">
      <w:pPr>
        <w:pStyle w:val="ad"/>
        <w:spacing w:after="120" w:line="360" w:lineRule="auto"/>
        <w:ind w:left="357"/>
        <w:jc w:val="both"/>
        <w:rPr>
          <w:rtl/>
        </w:rPr>
      </w:pPr>
    </w:p>
    <w:p w:rsidR="004F54D7" w:rsidRDefault="004F54D7" w:rsidP="004F54D7">
      <w:pPr>
        <w:pStyle w:val="ad"/>
        <w:spacing w:after="120" w:line="360" w:lineRule="auto"/>
        <w:ind w:left="357"/>
        <w:jc w:val="both"/>
      </w:pPr>
      <w:r>
        <w:rPr>
          <w:rtl/>
        </w:rPr>
        <w:t>בסיומו של ההסכם, ה</w:t>
      </w:r>
      <w:r>
        <w:rPr>
          <w:rFonts w:ascii="David" w:hAnsi="David"/>
          <w:rtl/>
        </w:rPr>
        <w:t>וּ</w:t>
      </w:r>
      <w:r>
        <w:rPr>
          <w:rtl/>
        </w:rPr>
        <w:t xml:space="preserve">ספה הערה בכתב יד, לפיה תוקפו של ההסכם הינו למשך שישה חודשים, באם לא תימכר דירת המגורים עד לסיום תוקפו, ייפגשו הצדדים בשנית לדון על הדברים (ראה נספח א' לכתב התביעה). </w:t>
      </w:r>
    </w:p>
    <w:p w:rsidR="004F54D7" w:rsidRDefault="004F54D7" w:rsidP="004F54D7">
      <w:pPr>
        <w:pStyle w:val="ad"/>
        <w:spacing w:after="120" w:line="360" w:lineRule="auto"/>
        <w:ind w:left="357"/>
        <w:jc w:val="both"/>
        <w:rPr>
          <w:rtl/>
        </w:rPr>
      </w:pPr>
    </w:p>
    <w:p w:rsidR="004F54D7" w:rsidRDefault="004F54D7" w:rsidP="000149A0">
      <w:pPr>
        <w:pStyle w:val="ad"/>
        <w:numPr>
          <w:ilvl w:val="0"/>
          <w:numId w:val="1"/>
        </w:numPr>
        <w:spacing w:after="120" w:line="360" w:lineRule="auto"/>
        <w:ind w:left="357" w:hanging="357"/>
        <w:jc w:val="both"/>
      </w:pPr>
      <w:r>
        <w:rPr>
          <w:rtl/>
        </w:rPr>
        <w:t>עיון בהסכם הגירושין, אשר נחתם בין הצדדים ביום 11.9.2017 (להלן: "</w:t>
      </w:r>
      <w:r>
        <w:rPr>
          <w:b/>
          <w:bCs/>
          <w:rtl/>
        </w:rPr>
        <w:t>הסכם הגירושין</w:t>
      </w:r>
      <w:r>
        <w:rPr>
          <w:rtl/>
        </w:rPr>
        <w:t>") מעלה, כי קיימת הקבלה בין ההסכמות שבסיס הסכם חלוקת הממון לאלו שנוסחו במסגרת ההסכם וכפי שיפורטו להלן:</w:t>
      </w:r>
      <w:r w:rsidR="000149A0">
        <w:rPr>
          <w:rFonts w:hint="cs"/>
          <w:rtl/>
        </w:rPr>
        <w:t xml:space="preserve"> </w:t>
      </w:r>
      <w:r>
        <w:rPr>
          <w:rtl/>
        </w:rPr>
        <w:t>הסכמת הצדדים להתגרש ונקיטת פעולות בשיתוף פעולה ל</w:t>
      </w:r>
      <w:r w:rsidR="000149A0">
        <w:rPr>
          <w:rtl/>
        </w:rPr>
        <w:t>צורך כך; וויתור האשה על כתובתה</w:t>
      </w:r>
      <w:r w:rsidR="000149A0">
        <w:rPr>
          <w:rFonts w:hint="cs"/>
          <w:rtl/>
        </w:rPr>
        <w:t xml:space="preserve">; </w:t>
      </w:r>
      <w:r>
        <w:rPr>
          <w:rFonts w:hint="cs"/>
          <w:rtl/>
        </w:rPr>
        <w:t>הסדרת זכויות הצדדים בדירת המגורים אגב גירושין; כך נקבע כי כחלק מהאיזון הרכושי בין הצדדים, האשה תעביר את חלקה בדירת המגורים לבעל. עוד נקבע כי האשה תפרע את המשכנתא מכיסה וכן תשא בהוצאות אחזקת המדור למשך שישה חודשים ממועד אישור הסכם הגירושין והסך ה</w:t>
      </w:r>
      <w:r w:rsidR="000149A0">
        <w:rPr>
          <w:rFonts w:hint="cs"/>
          <w:rtl/>
        </w:rPr>
        <w:t xml:space="preserve">נ"ל יוחזר אליה מכספי מכר הדירה; </w:t>
      </w:r>
      <w:r>
        <w:rPr>
          <w:rtl/>
        </w:rPr>
        <w:t>חלוקת המט</w:t>
      </w:r>
      <w:r w:rsidR="000149A0">
        <w:rPr>
          <w:rtl/>
        </w:rPr>
        <w:t>לטלין בין הצדדים בהתאם להסכמתם</w:t>
      </w:r>
      <w:r w:rsidR="000149A0">
        <w:rPr>
          <w:rFonts w:hint="cs"/>
          <w:rtl/>
        </w:rPr>
        <w:t xml:space="preserve">; </w:t>
      </w:r>
      <w:r>
        <w:rPr>
          <w:rtl/>
        </w:rPr>
        <w:t>הותרת הרכבים המוחזקים בידי מי מהם, אשר</w:t>
      </w:r>
      <w:r w:rsidR="000149A0">
        <w:rPr>
          <w:rtl/>
        </w:rPr>
        <w:t xml:space="preserve"> יועברו לבעלותם הפרטית</w:t>
      </w:r>
      <w:r w:rsidR="000149A0">
        <w:rPr>
          <w:rFonts w:hint="cs"/>
          <w:rtl/>
        </w:rPr>
        <w:t xml:space="preserve">; </w:t>
      </w:r>
      <w:r>
        <w:rPr>
          <w:rtl/>
        </w:rPr>
        <w:t>הסדרת החשבון הבנק המשותף שיועבר לבעלות האשה, אשר תישא באחריות ליתרת החובה בחשבון וכן לכיסוי ההלוואות שנלקחו</w:t>
      </w:r>
      <w:r w:rsidR="000149A0">
        <w:rPr>
          <w:rtl/>
        </w:rPr>
        <w:t xml:space="preserve"> ע"י הצדדים (בסך של 170,000 ₪)</w:t>
      </w:r>
      <w:r w:rsidR="000149A0">
        <w:rPr>
          <w:rFonts w:hint="cs"/>
          <w:rtl/>
        </w:rPr>
        <w:t xml:space="preserve">; </w:t>
      </w:r>
      <w:r>
        <w:rPr>
          <w:rtl/>
        </w:rPr>
        <w:t>וויתור הדדי על זכויות סוציאליות, פנסיוניות, קופות גמל וביטוחים שצבר כל אחד מהצדדים ואשר יוותר בבעלותו הפרטית, לרבות וויתור ע</w:t>
      </w:r>
      <w:r w:rsidR="000149A0">
        <w:rPr>
          <w:rtl/>
        </w:rPr>
        <w:t>ל דרישה למוניטין ופערי השתכרות</w:t>
      </w:r>
      <w:r w:rsidR="000149A0">
        <w:rPr>
          <w:rFonts w:hint="cs"/>
          <w:rtl/>
        </w:rPr>
        <w:t xml:space="preserve">; </w:t>
      </w:r>
      <w:r>
        <w:rPr>
          <w:rtl/>
        </w:rPr>
        <w:t xml:space="preserve">וויתור הדדי על ירושות ומתנות שהתקבלו במהלך חיי הנישואין, לרבות הזכות בדירה שרכש האיש מאחיו. </w:t>
      </w:r>
    </w:p>
    <w:p w:rsidR="004F54D7" w:rsidRDefault="004F54D7" w:rsidP="004F54D7">
      <w:pPr>
        <w:pStyle w:val="ad"/>
        <w:spacing w:after="120" w:line="360" w:lineRule="auto"/>
        <w:ind w:left="1077"/>
        <w:jc w:val="both"/>
      </w:pPr>
    </w:p>
    <w:p w:rsidR="004F54D7" w:rsidRDefault="004F54D7" w:rsidP="004F54D7">
      <w:pPr>
        <w:pStyle w:val="ad"/>
        <w:numPr>
          <w:ilvl w:val="0"/>
          <w:numId w:val="1"/>
        </w:numPr>
        <w:spacing w:after="120" w:line="360" w:lineRule="auto"/>
        <w:ind w:left="357" w:hanging="357"/>
        <w:jc w:val="both"/>
      </w:pPr>
      <w:r>
        <w:rPr>
          <w:rtl/>
        </w:rPr>
        <w:t xml:space="preserve">לשיטת האיש, הגם שהסכם הגירושין לא אושר בהליך שנפתח בבית הדין הרבני, הצדדים פעלו ליישמו וקיימו את הוראותיו; כך עזבה האשה את דירת המגורים ומסרה מרצון את מפתחות הנכס לבעל, תוך שהיא נוטלת חלק מהמטלטלין של הצדדים. שמו של האיש נגרע מהחשבון המשותף של הצדדים והאשה המשיכה לשאת לבדה ביתרת החובה ובהלוואות שנטלו הצדדים. הצדדים פנו ללשכת המקרקעין על מנת לקבל הסבר אודות העברת זכויותיה של האשה בדירת המגורים על שם האיש. האשה מימשה חלק מזכויותיה הכספיות הצבורות, שהינן בבחינת כספים משותפים וזאת על דעתה בלבד, בנוסף מכרה את הרכב שהיה רשום על שמה ורכשה אחר תחתיו. </w:t>
      </w:r>
    </w:p>
    <w:p w:rsidR="003C69A7" w:rsidRDefault="003C69A7" w:rsidP="003C69A7">
      <w:pPr>
        <w:pStyle w:val="ad"/>
        <w:rPr>
          <w:rtl/>
        </w:rPr>
      </w:pPr>
    </w:p>
    <w:p w:rsidR="004F54D7" w:rsidRDefault="004F54D7" w:rsidP="004F54D7">
      <w:pPr>
        <w:pStyle w:val="ad"/>
        <w:numPr>
          <w:ilvl w:val="0"/>
          <w:numId w:val="1"/>
        </w:numPr>
        <w:spacing w:after="120" w:line="360" w:lineRule="auto"/>
        <w:ind w:left="357" w:hanging="357"/>
        <w:jc w:val="both"/>
      </w:pPr>
      <w:r>
        <w:rPr>
          <w:rtl/>
        </w:rPr>
        <w:t xml:space="preserve">האשה מנגד טוענת, כי יציאתה מדירת המגורים נעשתה עקב החמרת התנהגותו האלימה של האיש כלפיה, בבחינת הימלטות מציפורניו בעת שהיא שרויה במצב נפשי קשה ומבלי שניתנה לה האפשרות ליטול אפילו את חפציה ובגדיה האישיים. כך גם פניית הצדדים ללשכת המקרקעין </w:t>
      </w:r>
      <w:r>
        <w:rPr>
          <w:rtl/>
        </w:rPr>
        <w:lastRenderedPageBreak/>
        <w:t xml:space="preserve">לבירור הליך העברת הזכויות נעשתה לאור הלחצים הכבדים שהפעיל עליה האיש שתוותר על זכויותיה בעבורו ועל רקע הניסיונות שנעשו לשלום בית, עם חזרתה לפרקים לדירת המגורים. </w:t>
      </w:r>
    </w:p>
    <w:p w:rsidR="004F54D7" w:rsidRDefault="004F54D7" w:rsidP="004F54D7">
      <w:pPr>
        <w:pStyle w:val="ad"/>
      </w:pPr>
    </w:p>
    <w:p w:rsidR="004F54D7" w:rsidRDefault="004F54D7" w:rsidP="004F54D7">
      <w:pPr>
        <w:pStyle w:val="ad"/>
        <w:numPr>
          <w:ilvl w:val="0"/>
          <w:numId w:val="1"/>
        </w:numPr>
        <w:spacing w:after="120" w:line="360" w:lineRule="auto"/>
        <w:ind w:left="357" w:hanging="357"/>
        <w:jc w:val="both"/>
        <w:rPr>
          <w:rtl/>
        </w:rPr>
      </w:pPr>
      <w:r>
        <w:rPr>
          <w:rtl/>
        </w:rPr>
        <w:t>לעניין גריעת האיש מהחשבון המשותף, טענה האשה, כי בשל חששותיה מהימוריו הכבדים של האיש שבגינם נאלצה ליטול הלוואות שונות, פעלה לסיום השיתוף בחשבון המשותף. לצד זאת, המשיכה לשאת בתשלום המשכנתא והלוואות הצדדים, ביודעה כי האיש לא יעשה כן ועל מנת שלא יינקטו כנגדה הליכים. מימוש קופת הגמל על סך 58,305 נעשתה לבקשת האיש על מנת לרכוש את חלקו של אחיו בדירה שירש מאמו.</w:t>
      </w:r>
    </w:p>
    <w:p w:rsidR="004F54D7" w:rsidRDefault="004F54D7" w:rsidP="004F54D7">
      <w:pPr>
        <w:pStyle w:val="ad"/>
        <w:spacing w:after="120" w:line="360" w:lineRule="auto"/>
        <w:ind w:left="360"/>
        <w:jc w:val="both"/>
      </w:pPr>
    </w:p>
    <w:p w:rsidR="004F54D7" w:rsidRDefault="004F54D7" w:rsidP="004F54D7">
      <w:pPr>
        <w:pStyle w:val="ad"/>
        <w:numPr>
          <w:ilvl w:val="0"/>
          <w:numId w:val="1"/>
        </w:numPr>
        <w:spacing w:after="120" w:line="360" w:lineRule="auto"/>
        <w:jc w:val="both"/>
      </w:pPr>
      <w:r>
        <w:rPr>
          <w:rtl/>
        </w:rPr>
        <w:t xml:space="preserve">להוכחת טענותיו אודות יישום ההסכם בידי האשה, צירף האיש מסמכים הנוגעים למשכנתא המוטלת על דירת המגורים אשר הונפקו ביום 21.8.2017 המופנים ללווים המבקשים לפרוע אותה (ראה נספח ה לתצהיר האיש). אישור על גריעתו מהחשבון המשותף ביום 3.10.2017 וכן אישור על קיום חשבון נפרד על שמו שנפתח ביום 24.7.2017 (ראה נספחים ג' ו-ו' לתצהיר). מכתב המפרט המסמכים הדרושים לעסקת מכר מהאגף לרישום והסדר מקרקעין (ראה נספח ז'). דוחות שנתיים לעמית הנוגעים לשתיים מקופות הגמל על שם האשה, מהם נמשכו כספים בסך כולל של 213,734 ₪ במהלך שנת 2017 (ראה נספחים ח ו-ז' לתצהיר). </w:t>
      </w:r>
    </w:p>
    <w:p w:rsidR="004F54D7" w:rsidRDefault="004F54D7" w:rsidP="004F54D7">
      <w:pPr>
        <w:pStyle w:val="ad"/>
      </w:pPr>
    </w:p>
    <w:p w:rsidR="004F54D7" w:rsidRDefault="004F54D7" w:rsidP="004F54D7">
      <w:pPr>
        <w:pStyle w:val="ad"/>
        <w:numPr>
          <w:ilvl w:val="0"/>
          <w:numId w:val="1"/>
        </w:numPr>
        <w:spacing w:after="120" w:line="360" w:lineRule="auto"/>
        <w:jc w:val="both"/>
        <w:rPr>
          <w:rtl/>
        </w:rPr>
      </w:pPr>
      <w:r>
        <w:rPr>
          <w:rtl/>
        </w:rPr>
        <w:t xml:space="preserve">עוד צורפו מטעם האיש מסמכים הנוגעים לאירוע הלבבי שחווה בשנת 2014 (ראה נספח י' לתצהיר), אשר לא נהיר כיצד יש בהם לבסס טענותיו אודות המניעה הרפואית מהשתלבותו בשוק העבודה, נכון למועד חתימת הסכם הגירושין, בשנת 2017. </w:t>
      </w:r>
    </w:p>
    <w:p w:rsidR="004F54D7" w:rsidRDefault="004F54D7" w:rsidP="004F54D7">
      <w:pPr>
        <w:pStyle w:val="ad"/>
      </w:pPr>
    </w:p>
    <w:p w:rsidR="004F54D7" w:rsidRDefault="004F54D7" w:rsidP="004F54D7">
      <w:pPr>
        <w:pStyle w:val="ad"/>
        <w:numPr>
          <w:ilvl w:val="0"/>
          <w:numId w:val="1"/>
        </w:numPr>
        <w:spacing w:after="120" w:line="360" w:lineRule="auto"/>
        <w:jc w:val="both"/>
        <w:rPr>
          <w:rtl/>
        </w:rPr>
      </w:pPr>
      <w:r>
        <w:rPr>
          <w:rtl/>
        </w:rPr>
        <w:t xml:space="preserve">לאורך כל ניהול ההליכים, ניסה האיש להציגו כאדם שאינו יודע לקרוא ולכתוב,  מוחלש ושאינו בקו הבריאות, זאת כבסיס לטענתו, כי האשה היא שהכתיבה את תניות ההסכם מתוך אינטרס כלכלי וניצול חולשתו כאנלפבית. </w:t>
      </w:r>
    </w:p>
    <w:p w:rsidR="004F54D7" w:rsidRDefault="004F54D7" w:rsidP="004F54D7">
      <w:pPr>
        <w:pStyle w:val="ad"/>
      </w:pPr>
    </w:p>
    <w:p w:rsidR="004F54D7" w:rsidRDefault="004F54D7" w:rsidP="004F54D7">
      <w:pPr>
        <w:pStyle w:val="ad"/>
        <w:spacing w:after="120" w:line="360" w:lineRule="auto"/>
        <w:ind w:left="360"/>
        <w:jc w:val="both"/>
        <w:rPr>
          <w:rtl/>
        </w:rPr>
      </w:pPr>
      <w:r>
        <w:rPr>
          <w:rtl/>
        </w:rPr>
        <w:t xml:space="preserve">אולם ומהנסיבות שפורטו לפני, העדויות שנשמעו והתרשמותי מהאיש בדיונים שנערכו לפני, לרבות דיוני ההוכחות, ברי כי האיש הוא שנטל חלק פעיל בקביעת עקרונות הסכם הגירושין ואף ניהל מערכה סדורה כנגד האשה על מנת להביאה להיכנע לתכתיביו שלו. </w:t>
      </w:r>
    </w:p>
    <w:p w:rsidR="004F54D7" w:rsidRDefault="004F54D7" w:rsidP="004F54D7">
      <w:pPr>
        <w:pStyle w:val="ad"/>
        <w:rPr>
          <w:rtl/>
        </w:rPr>
      </w:pPr>
    </w:p>
    <w:p w:rsidR="004F54D7" w:rsidRDefault="004F54D7" w:rsidP="00E500F5">
      <w:pPr>
        <w:pStyle w:val="ad"/>
        <w:numPr>
          <w:ilvl w:val="0"/>
          <w:numId w:val="1"/>
        </w:numPr>
        <w:spacing w:after="120" w:line="360" w:lineRule="auto"/>
        <w:jc w:val="both"/>
        <w:rPr>
          <w:rtl/>
        </w:rPr>
      </w:pPr>
      <w:r>
        <w:rPr>
          <w:rtl/>
        </w:rPr>
        <w:t>בחקירתו טען כי האשה והבנות הם שכתבו את ההסכם, הותירו אותו רק עם דירת המגורים, תוך שהוא מוותר על כל שאר הרכוש, אח"כ הלכו הצדדים לעו"ד א</w:t>
      </w:r>
      <w:r w:rsidR="00E500F5">
        <w:rPr>
          <w:rFonts w:hint="cs"/>
          <w:rtl/>
        </w:rPr>
        <w:t>'</w:t>
      </w:r>
      <w:r>
        <w:rPr>
          <w:rtl/>
        </w:rPr>
        <w:t xml:space="preserve"> שהעתיק אותו (ראה בעמוד 314 לפרוטוקול מיום 22.11.2020). אולם, כשנשאל פעם אחר פעם מדוע אינו נותן הסכמתו לחלוקה </w:t>
      </w:r>
      <w:r>
        <w:rPr>
          <w:rtl/>
        </w:rPr>
        <w:lastRenderedPageBreak/>
        <w:t xml:space="preserve">שיוויונית של הרכוש בין הצדדים כהצעת בית המשפט, תחת עמידתו הדווקנית על קיום ההסכם, ענה בצורה מתחמקת, סתם ולא הסביר (ראה בעמוד 318 לפרוט'). </w:t>
      </w:r>
    </w:p>
    <w:p w:rsidR="004F54D7" w:rsidRDefault="004F54D7" w:rsidP="004F54D7">
      <w:pPr>
        <w:pStyle w:val="ad"/>
      </w:pPr>
    </w:p>
    <w:p w:rsidR="004F54D7" w:rsidRDefault="004F54D7" w:rsidP="004F54D7">
      <w:pPr>
        <w:pStyle w:val="ad"/>
        <w:numPr>
          <w:ilvl w:val="0"/>
          <w:numId w:val="1"/>
        </w:numPr>
        <w:spacing w:after="120" w:line="360" w:lineRule="auto"/>
        <w:jc w:val="both"/>
        <w:rPr>
          <w:rtl/>
        </w:rPr>
      </w:pPr>
      <w:r>
        <w:rPr>
          <w:rtl/>
        </w:rPr>
        <w:t xml:space="preserve">זאת ועוד, טענות האיש אודות יתרונותיו הכלכליים של הסכם הגירושין שנוסחו לבקשת האשה, אינם מתיישבים עם התנגדותו החוזרת, גם לאחר החלפת הייצוג, למינוי אקטואר ולו רק לצורך הצגת התמונה הכלכלית כהוויתה וביאור המתווה שנקבע בהסכם הגירושין. בהקשר זה יצוין, כי בפני בית המשפט לא הונחה תביעה לאיזון משאבים מטעם מי מהצדדים.  </w:t>
      </w:r>
    </w:p>
    <w:p w:rsidR="004F54D7" w:rsidRDefault="004F54D7" w:rsidP="004F54D7">
      <w:pPr>
        <w:pStyle w:val="ad"/>
      </w:pPr>
    </w:p>
    <w:p w:rsidR="004F54D7" w:rsidRDefault="004F54D7" w:rsidP="008863A3">
      <w:pPr>
        <w:pStyle w:val="ad"/>
        <w:numPr>
          <w:ilvl w:val="0"/>
          <w:numId w:val="1"/>
        </w:numPr>
        <w:spacing w:after="120" w:line="360" w:lineRule="auto"/>
        <w:jc w:val="both"/>
        <w:rPr>
          <w:rtl/>
        </w:rPr>
      </w:pPr>
      <w:r>
        <w:rPr>
          <w:rtl/>
        </w:rPr>
        <w:t>מטעמו של האיש, לא הובאו עדים, לרבות אף לא את עו"ד א</w:t>
      </w:r>
      <w:r w:rsidR="008863A3">
        <w:rPr>
          <w:rFonts w:hint="cs"/>
          <w:rtl/>
        </w:rPr>
        <w:t>'</w:t>
      </w:r>
      <w:r>
        <w:rPr>
          <w:rtl/>
        </w:rPr>
        <w:t>, אשר לטענתו ניסח את הסכם הגירושין לבקשת האשה, הגישו לאישור בבית הדין הרבני ואף התקשר אליו לבקשת האשה כדי לתזכרו שיתייצב לדיון. דומה, כי המנעותו של האיש מזימונו של עו"ד א</w:t>
      </w:r>
      <w:r w:rsidR="008863A3">
        <w:rPr>
          <w:rFonts w:hint="cs"/>
          <w:rtl/>
        </w:rPr>
        <w:t>'</w:t>
      </w:r>
      <w:r>
        <w:rPr>
          <w:rtl/>
        </w:rPr>
        <w:t xml:space="preserve"> לעדות, עומדת לו לרועץ; שהרי יכול כי בעדותו היה שופך אור על נסיבות פניית הצדדים אליו לצורך עריכת ההסכם והרציונאלים שעמדו בבסיס ניסוח הוראות ההסכם כפי שנכתבו. </w:t>
      </w:r>
    </w:p>
    <w:p w:rsidR="004F54D7" w:rsidRDefault="004F54D7" w:rsidP="004F54D7">
      <w:pPr>
        <w:pStyle w:val="ad"/>
      </w:pPr>
    </w:p>
    <w:p w:rsidR="004F54D7" w:rsidRDefault="004F54D7" w:rsidP="004F54D7">
      <w:pPr>
        <w:pStyle w:val="ad"/>
        <w:numPr>
          <w:ilvl w:val="0"/>
          <w:numId w:val="1"/>
        </w:numPr>
        <w:spacing w:after="120" w:line="360" w:lineRule="auto"/>
        <w:jc w:val="both"/>
        <w:rPr>
          <w:rtl/>
        </w:rPr>
      </w:pPr>
      <w:r>
        <w:rPr>
          <w:rtl/>
        </w:rPr>
        <w:t xml:space="preserve">האיש שב וטען כי הצדדים פעלו ליישום הסכם הגירושין, כבר לאחר חתימתם על הסכם חלוקת הממון בנוכחות בנותיהם ואף לאחר חתימתם על הסכם הגירושין, ברם הדבר לא הוכח, כאשר הלכה למעשה דירת המגורים נותרה בבעלות שני הצדדים ואף לא נמכרה בהתאם להוראות הסכם הגירושין. כך גם הצדדים המשיכו לנהוג מנהג בעלים ברכבים שהחזיקו לשימושם, לרבות מכירתם במרוצת השנים. </w:t>
      </w:r>
    </w:p>
    <w:p w:rsidR="00CC3425" w:rsidRDefault="00CC3425" w:rsidP="00CC3425">
      <w:pPr>
        <w:pStyle w:val="ad"/>
      </w:pPr>
    </w:p>
    <w:p w:rsidR="004F54D7" w:rsidRDefault="004F54D7" w:rsidP="004F54D7">
      <w:pPr>
        <w:pStyle w:val="ad"/>
        <w:numPr>
          <w:ilvl w:val="0"/>
          <w:numId w:val="1"/>
        </w:numPr>
        <w:spacing w:after="120" w:line="360" w:lineRule="auto"/>
        <w:jc w:val="both"/>
        <w:rPr>
          <w:rtl/>
        </w:rPr>
      </w:pPr>
      <w:r>
        <w:rPr>
          <w:rtl/>
        </w:rPr>
        <w:t xml:space="preserve">בנסיבות אלה, מצאתי את נימוקיה של האשה אודות סיבת עזיבתה את דירת המגורים, גריעתו של האיש מחשבון הבנק המשותף ואף המשך נשיאתה בתשלומי המשכנתא והלוואת הדיור, לאחר יציאתה מדירת המגורים, כמשכנעים ובעת שאלו לא נעשו מתוך הישענותה על הוראות הסכם הגירושין. </w:t>
      </w:r>
    </w:p>
    <w:p w:rsidR="004F54D7" w:rsidRDefault="004F54D7" w:rsidP="004F54D7">
      <w:pPr>
        <w:pStyle w:val="ad"/>
        <w:rPr>
          <w:rtl/>
        </w:rPr>
      </w:pPr>
    </w:p>
    <w:p w:rsidR="004F54D7" w:rsidRDefault="004F54D7" w:rsidP="004F54D7">
      <w:pPr>
        <w:pStyle w:val="ad"/>
        <w:numPr>
          <w:ilvl w:val="0"/>
          <w:numId w:val="1"/>
        </w:numPr>
        <w:spacing w:after="120" w:line="360" w:lineRule="auto"/>
        <w:jc w:val="both"/>
        <w:rPr>
          <w:b/>
          <w:bCs/>
          <w:i/>
          <w:iCs/>
          <w:rtl/>
        </w:rPr>
      </w:pPr>
      <w:r>
        <w:rPr>
          <w:rtl/>
        </w:rPr>
        <w:t xml:space="preserve">לצד זאת, מצאתי כי התנהלות האיש עולה כדי </w:t>
      </w:r>
      <w:r>
        <w:rPr>
          <w:b/>
          <w:bCs/>
          <w:i/>
          <w:iCs/>
          <w:rtl/>
        </w:rPr>
        <w:t>חוסר תום לב</w:t>
      </w:r>
      <w:r>
        <w:rPr>
          <w:rtl/>
        </w:rPr>
        <w:t xml:space="preserve">; מחד טוען הוא להתקיימות הסכם הגירושין, הכולל בין היתר הסכמת הצדדים להתגרש ונקיטת צעדים בשיתוף פעולה להסדרת הגט (יצוין כי בהסכם חלוקת הממון, היה מדובר בתנאי מתלה להסכם) ומאידך עומד בסירובו הנחרץ ליתן גט לאשה; </w:t>
      </w:r>
      <w:r>
        <w:rPr>
          <w:b/>
          <w:bCs/>
          <w:i/>
          <w:iCs/>
          <w:rtl/>
        </w:rPr>
        <w:t>בבחינת אוחז במקל בשני קצוותיו, ברצונו מקיים, ברצונו פוסל.</w:t>
      </w:r>
    </w:p>
    <w:p w:rsidR="004F54D7" w:rsidRDefault="004F54D7" w:rsidP="004F54D7">
      <w:pPr>
        <w:pStyle w:val="ad"/>
      </w:pPr>
    </w:p>
    <w:p w:rsidR="004F54D7" w:rsidRDefault="004F54D7" w:rsidP="004F54D7">
      <w:pPr>
        <w:pStyle w:val="ad"/>
        <w:numPr>
          <w:ilvl w:val="0"/>
          <w:numId w:val="1"/>
        </w:numPr>
        <w:spacing w:after="120" w:line="360" w:lineRule="auto"/>
        <w:ind w:left="357" w:hanging="357"/>
        <w:jc w:val="both"/>
        <w:rPr>
          <w:rtl/>
        </w:rPr>
      </w:pPr>
      <w:r>
        <w:rPr>
          <w:rtl/>
        </w:rPr>
        <w:t xml:space="preserve">האשה טענה כי </w:t>
      </w:r>
      <w:r w:rsidRPr="00CC3425">
        <w:rPr>
          <w:b/>
          <w:bCs/>
          <w:i/>
          <w:iCs/>
          <w:rtl/>
        </w:rPr>
        <w:t>מסכת הרדיפה</w:t>
      </w:r>
      <w:r>
        <w:rPr>
          <w:rtl/>
        </w:rPr>
        <w:t xml:space="preserve"> מצד האיש החלה ביום 18.7.2017 כאשר במשך חמישה ימים מנע ממנה האיש לישון, להתנהל בנינוחות ולהמשיך בשגרת חייה, בעת שהיה מגדף ומקלל ונוהג כלפיה באלימות מילולית קשה ביותר אודות מעשי הבגידה שייחס לה (ראה בעמוד 80 לפרוט' מיום </w:t>
      </w:r>
      <w:r>
        <w:rPr>
          <w:rtl/>
        </w:rPr>
        <w:lastRenderedPageBreak/>
        <w:t xml:space="preserve">2.10.2019). בהמשך לכך ובעת ששרתה במצב נפשי קשה, ערכו הצדדים את עיקרי ההסכמות בהתאם לתכתיביו של האיש ביום 23.7.20 בנוכחות בנותיהם. </w:t>
      </w:r>
    </w:p>
    <w:p w:rsidR="004F54D7" w:rsidRDefault="004F54D7" w:rsidP="004F54D7">
      <w:pPr>
        <w:pStyle w:val="ad"/>
        <w:spacing w:after="120" w:line="360" w:lineRule="auto"/>
        <w:ind w:left="357"/>
        <w:jc w:val="both"/>
      </w:pPr>
    </w:p>
    <w:p w:rsidR="004F54D7" w:rsidRDefault="004F54D7" w:rsidP="007177F8">
      <w:pPr>
        <w:pStyle w:val="ad"/>
        <w:numPr>
          <w:ilvl w:val="0"/>
          <w:numId w:val="1"/>
        </w:numPr>
        <w:spacing w:after="120" w:line="360" w:lineRule="auto"/>
        <w:ind w:left="357" w:hanging="357"/>
        <w:jc w:val="both"/>
      </w:pPr>
      <w:r>
        <w:rPr>
          <w:rtl/>
        </w:rPr>
        <w:t xml:space="preserve">בו ביום וקודם עריכת ההסכם, העידו בנותיהם של הצדדים כי האב יצר עימן קשר טלפוני וטען כי אם ברצונם לראות את אימם בפעם האחרונה, יגיעו מיד לדירת המגורים (ראה בין היתר עדות הבת </w:t>
      </w:r>
      <w:r w:rsidR="00D15D59">
        <w:rPr>
          <w:rFonts w:hint="cs"/>
          <w:rtl/>
        </w:rPr>
        <w:t>ו'</w:t>
      </w:r>
      <w:r>
        <w:rPr>
          <w:rtl/>
        </w:rPr>
        <w:t xml:space="preserve"> בעמוד 114 בפרוטוקול מיום 2.10.2019). הבת </w:t>
      </w:r>
      <w:r w:rsidR="00873859">
        <w:rPr>
          <w:rFonts w:hint="cs"/>
          <w:rtl/>
        </w:rPr>
        <w:t>י'</w:t>
      </w:r>
      <w:r>
        <w:rPr>
          <w:rtl/>
        </w:rPr>
        <w:t xml:space="preserve"> הגיעה ראשונה לדירת המגורים והעידה כי ראתה את אימה במצב קטסטרופאלי (ראה בעמוד 169, שורות 20-22 לפרוט' מיום 2.10.2019). אחר כך, הגיע לדירתם של הצדדים, מנהל ה</w:t>
      </w:r>
      <w:r w:rsidR="007177F8">
        <w:rPr>
          <w:rFonts w:hint="cs"/>
          <w:rtl/>
        </w:rPr>
        <w:t>סניף</w:t>
      </w:r>
      <w:r>
        <w:rPr>
          <w:rtl/>
        </w:rPr>
        <w:t xml:space="preserve">, שהעיד כי ראה את האשה שוכבת על הספה ונראית לא בריאה ושוחח עם האיש על המפגשים החברתיים של הבנק (ראה בעמוד 233 לפרוטוקול מיום 13.7.2020). שיחה אשר בוודאי גרמה לאשה מבוכה גדולה. </w:t>
      </w:r>
    </w:p>
    <w:p w:rsidR="004F54D7" w:rsidRDefault="004F54D7" w:rsidP="004F54D7">
      <w:pPr>
        <w:pStyle w:val="ad"/>
      </w:pPr>
    </w:p>
    <w:p w:rsidR="004F54D7" w:rsidRDefault="004F54D7" w:rsidP="000D7F35">
      <w:pPr>
        <w:pStyle w:val="ad"/>
        <w:numPr>
          <w:ilvl w:val="0"/>
          <w:numId w:val="1"/>
        </w:numPr>
        <w:spacing w:after="120" w:line="360" w:lineRule="auto"/>
        <w:ind w:left="357" w:hanging="357"/>
        <w:jc w:val="both"/>
        <w:rPr>
          <w:rtl/>
        </w:rPr>
      </w:pPr>
      <w:r>
        <w:rPr>
          <w:b/>
          <w:bCs/>
          <w:rtl/>
        </w:rPr>
        <w:t>בהינתן קורות אותו היום</w:t>
      </w:r>
      <w:r>
        <w:rPr>
          <w:rtl/>
        </w:rPr>
        <w:t xml:space="preserve"> ובנוכחות בתם הנוספת של הצדדים, ערכו הצדדים את הסכם חלוקת הממון. האשה העידה כי האיש ביטא את רצונו להתגרש ואמר כי הוא רוצה את הדירה ושתצא ממנה (ראה בעמוד 13, שורות 89 לפרוט' הדיון מיום 26.9.2019). </w:t>
      </w:r>
      <w:r>
        <w:rPr>
          <w:b/>
          <w:bCs/>
          <w:rtl/>
        </w:rPr>
        <w:t xml:space="preserve">הבת </w:t>
      </w:r>
      <w:r w:rsidR="000D7F35">
        <w:rPr>
          <w:rFonts w:hint="cs"/>
          <w:b/>
          <w:bCs/>
          <w:rtl/>
        </w:rPr>
        <w:t>י'</w:t>
      </w:r>
      <w:r>
        <w:rPr>
          <w:b/>
          <w:bCs/>
          <w:rtl/>
        </w:rPr>
        <w:t xml:space="preserve"> אישרה כי האיש העלה את הדרישה לקבל את הדירה בתמורה לגט ולא הייתה זאת הפעם הראשונה ששמעה זאת</w:t>
      </w:r>
      <w:r>
        <w:rPr>
          <w:rtl/>
        </w:rPr>
        <w:t xml:space="preserve"> (ראה בעמוד 180 לפרוט' הדיון מיום 2.10.2019). </w:t>
      </w:r>
    </w:p>
    <w:p w:rsidR="004F54D7" w:rsidRDefault="004F54D7" w:rsidP="004F54D7">
      <w:pPr>
        <w:pStyle w:val="ad"/>
      </w:pPr>
    </w:p>
    <w:p w:rsidR="004F54D7" w:rsidRDefault="004F54D7" w:rsidP="00EE48D9">
      <w:pPr>
        <w:pStyle w:val="ad"/>
        <w:numPr>
          <w:ilvl w:val="0"/>
          <w:numId w:val="1"/>
        </w:numPr>
        <w:spacing w:after="120" w:line="360" w:lineRule="auto"/>
        <w:ind w:left="357" w:hanging="357"/>
        <w:jc w:val="both"/>
        <w:rPr>
          <w:rtl/>
        </w:rPr>
      </w:pPr>
      <w:r>
        <w:rPr>
          <w:rtl/>
        </w:rPr>
        <w:t xml:space="preserve">הבנות תיארו כי </w:t>
      </w:r>
      <w:r>
        <w:rPr>
          <w:i/>
          <w:iCs/>
          <w:rtl/>
        </w:rPr>
        <w:t>ההסכם נחתם באווירה מתוחה מאוד, מאיימת ולא נורמטיבית</w:t>
      </w:r>
      <w:r>
        <w:rPr>
          <w:rtl/>
        </w:rPr>
        <w:t>: "</w:t>
      </w:r>
      <w:r>
        <w:rPr>
          <w:b/>
          <w:bCs/>
          <w:rtl/>
        </w:rPr>
        <w:t>כשעומדים עם אקדח ככה על הראש שלך, אתה לא יכול לחתום באווירה נינוחה</w:t>
      </w:r>
      <w:r>
        <w:rPr>
          <w:rtl/>
        </w:rPr>
        <w:t xml:space="preserve">." (ר' חקירת הבת </w:t>
      </w:r>
      <w:r w:rsidR="00EE48D9">
        <w:rPr>
          <w:rFonts w:hint="cs"/>
          <w:rtl/>
        </w:rPr>
        <w:t>ו'</w:t>
      </w:r>
      <w:r>
        <w:rPr>
          <w:rtl/>
        </w:rPr>
        <w:t xml:space="preserve"> בעמוד 132, שורות 18-19 לפרוטוקול מיום 2.10.2019). </w:t>
      </w:r>
    </w:p>
    <w:p w:rsidR="004F54D7" w:rsidRDefault="004F54D7" w:rsidP="004F54D7">
      <w:pPr>
        <w:pStyle w:val="ad"/>
      </w:pPr>
    </w:p>
    <w:p w:rsidR="004F54D7" w:rsidRDefault="004F54D7" w:rsidP="004F54D7">
      <w:pPr>
        <w:pStyle w:val="ad"/>
        <w:numPr>
          <w:ilvl w:val="0"/>
          <w:numId w:val="1"/>
        </w:numPr>
        <w:spacing w:after="120" w:line="360" w:lineRule="auto"/>
        <w:ind w:left="357" w:hanging="357"/>
        <w:jc w:val="both"/>
        <w:rPr>
          <w:rtl/>
        </w:rPr>
      </w:pPr>
      <w:r>
        <w:rPr>
          <w:rtl/>
        </w:rPr>
        <w:t>הצדדים חתמו על הסכם הגירושין, ביום 11.9.2017, כחודשיים אחר כך, זאת על רקע ניסיונות הצדדים לחזור לשלום בית על פי בקשת האיש (כדבריו בפרוטוקול הדיון בבית הדין הרבני מיום 14.11.2017 "</w:t>
      </w:r>
      <w:r>
        <w:rPr>
          <w:b/>
          <w:bCs/>
          <w:rtl/>
        </w:rPr>
        <w:t>ביקשתי חמש פעמים שהיא תחזור לבית</w:t>
      </w:r>
      <w:r>
        <w:rPr>
          <w:rtl/>
        </w:rPr>
        <w:t xml:space="preserve">"). ניסיונות הפיוס נכשלו פעם אחר פעם בגין חשדנותו הבלתי פוסקת של האיש במעשי הבגידה שייחס לאשה, כאמור. </w:t>
      </w:r>
    </w:p>
    <w:p w:rsidR="004F54D7" w:rsidRDefault="004F54D7" w:rsidP="004F54D7">
      <w:pPr>
        <w:pStyle w:val="ad"/>
      </w:pPr>
    </w:p>
    <w:p w:rsidR="004F54D7" w:rsidRDefault="004F54D7" w:rsidP="004F54D7">
      <w:pPr>
        <w:pStyle w:val="ad"/>
        <w:numPr>
          <w:ilvl w:val="0"/>
          <w:numId w:val="1"/>
        </w:numPr>
        <w:spacing w:after="120" w:line="360" w:lineRule="auto"/>
        <w:ind w:left="357" w:hanging="357"/>
        <w:jc w:val="both"/>
        <w:rPr>
          <w:rtl/>
        </w:rPr>
      </w:pPr>
      <w:r>
        <w:rPr>
          <w:rtl/>
        </w:rPr>
        <w:t xml:space="preserve">בחקירתה טענה האשה, כי בכל פעם בה שבה, לבקשת האיש, עזבה לאחר כמה ימים כשהוא ממשיך לגדף ולקלל ולהטיח בה האשמות (ראה בעמוד 13 לפרוט' מיום 26.9.2019), לבסוף עזבה סופית ביום 25.10.2017 (שם בעמוד 14, שורה 2). </w:t>
      </w:r>
    </w:p>
    <w:p w:rsidR="004F54D7" w:rsidRDefault="004F54D7" w:rsidP="004F54D7">
      <w:pPr>
        <w:pStyle w:val="ad"/>
      </w:pPr>
    </w:p>
    <w:p w:rsidR="004F54D7" w:rsidRDefault="004F54D7" w:rsidP="00080BBC">
      <w:pPr>
        <w:pStyle w:val="ad"/>
        <w:numPr>
          <w:ilvl w:val="0"/>
          <w:numId w:val="1"/>
        </w:numPr>
        <w:spacing w:after="120" w:line="360" w:lineRule="auto"/>
        <w:ind w:left="357" w:hanging="357"/>
        <w:jc w:val="both"/>
        <w:rPr>
          <w:rtl/>
        </w:rPr>
      </w:pPr>
      <w:r>
        <w:rPr>
          <w:rtl/>
        </w:rPr>
        <w:t xml:space="preserve">בההקשר זה, אישר האיש בחקירתו, כי הוא והאשה הלכו בשעת לילה לבית העלמין, במטרה להוכיח לו שלא בגדה, על קבר הוריה (ראה בעמוד 346 לפרוטוקול הדיון מיום 22.11.2020) וגם ביקרו אצל רב בנהריה על מנת שיאשר שהאשה נקייה ולא בגדה בו (בעמוד 367). לצד זאת,  פנו </w:t>
      </w:r>
      <w:r>
        <w:rPr>
          <w:rtl/>
        </w:rPr>
        <w:lastRenderedPageBreak/>
        <w:t xml:space="preserve">להתייעצות עם עו"ד </w:t>
      </w:r>
      <w:r w:rsidR="00080BBC">
        <w:rPr>
          <w:rFonts w:hint="cs"/>
          <w:rtl/>
        </w:rPr>
        <w:t xml:space="preserve">ל' </w:t>
      </w:r>
      <w:r>
        <w:rPr>
          <w:rtl/>
        </w:rPr>
        <w:t xml:space="preserve">אודות הליך העברת הזכויות, שם הבהיר להם עו"ד כי מרגע שתבוצע ההעברה, לא ניתן יהיה להחזיר את הזכויות וההליך לא בוצע (ראה בעמוד 347 לפרוט'). ברי כי לצד מסכת הלחצים שהופעלה על האשה ונכונותה לפעול לשיקום היחסים, סירבה היא לפעול ליישום ההסכם. </w:t>
      </w:r>
    </w:p>
    <w:p w:rsidR="004F54D7" w:rsidRDefault="004F54D7" w:rsidP="004F54D7">
      <w:pPr>
        <w:pStyle w:val="ad"/>
      </w:pPr>
    </w:p>
    <w:p w:rsidR="004F54D7" w:rsidRDefault="004F54D7" w:rsidP="004F54D7">
      <w:pPr>
        <w:pStyle w:val="ad"/>
        <w:numPr>
          <w:ilvl w:val="0"/>
          <w:numId w:val="1"/>
        </w:numPr>
        <w:spacing w:after="120" w:line="360" w:lineRule="auto"/>
        <w:jc w:val="both"/>
        <w:rPr>
          <w:rtl/>
        </w:rPr>
      </w:pPr>
      <w:r>
        <w:rPr>
          <w:rtl/>
        </w:rPr>
        <w:t>בהמשך לחתימת הסכם הגירושין, נקבע לצדדים ביום 14.11.2017 דיון בבית הדין הרבני, במסגרתו ביקש האיש לאשר את ההסכם שנחתם. אלא שבית הדין הרבני סירב לאשרו, בהתאם לדברים שצוינו בפרוטוקול: "</w:t>
      </w:r>
      <w:r>
        <w:rPr>
          <w:b/>
          <w:bCs/>
          <w:rtl/>
        </w:rPr>
        <w:t>זה הסכם של עושק. אנחנו לא נאשר את ההסכם</w:t>
      </w:r>
      <w:r>
        <w:rPr>
          <w:rtl/>
        </w:rPr>
        <w:t>." ועוד "</w:t>
      </w:r>
      <w:r>
        <w:rPr>
          <w:b/>
          <w:bCs/>
          <w:rtl/>
        </w:rPr>
        <w:t>הפרוטוקול נכתב, תפתחו תביעות, ההסכם הוא לא הסכם הגיוני</w:t>
      </w:r>
      <w:r>
        <w:rPr>
          <w:rtl/>
        </w:rPr>
        <w:t>" (ראה בעמוד 2, שורות 55 ו-53 לפרוטוקול בית הדין הרב</w:t>
      </w:r>
      <w:r w:rsidR="000A1D93">
        <w:rPr>
          <w:rtl/>
        </w:rPr>
        <w:t xml:space="preserve">ני מיום 14.11.2017 שצורף כנספח </w:t>
      </w:r>
      <w:r w:rsidR="000A1D93">
        <w:rPr>
          <w:rFonts w:hint="cs"/>
          <w:rtl/>
        </w:rPr>
        <w:t>ג</w:t>
      </w:r>
      <w:r>
        <w:rPr>
          <w:rtl/>
        </w:rPr>
        <w:t>' לתצהיר האיש</w:t>
      </w:r>
      <w:r w:rsidR="000A1D93">
        <w:rPr>
          <w:rFonts w:hint="cs"/>
          <w:rtl/>
        </w:rPr>
        <w:t>ה</w:t>
      </w:r>
      <w:r>
        <w:rPr>
          <w:rtl/>
        </w:rPr>
        <w:t xml:space="preserve">). ביתר שאת ולאור התעקשות האיש לאשר את ההסכם, הבהיר בית הדין כי אף אם שני הצדדים יסכימו להסכם זה, לא יאשרו אותו (ראה בשורה 59). </w:t>
      </w:r>
    </w:p>
    <w:p w:rsidR="004F54D7" w:rsidRDefault="004F54D7" w:rsidP="004F54D7">
      <w:pPr>
        <w:pStyle w:val="ad"/>
      </w:pPr>
    </w:p>
    <w:p w:rsidR="004F54D7" w:rsidRDefault="004F54D7" w:rsidP="001E4491">
      <w:pPr>
        <w:pStyle w:val="ad"/>
        <w:numPr>
          <w:ilvl w:val="0"/>
          <w:numId w:val="1"/>
        </w:numPr>
        <w:spacing w:after="120" w:line="360" w:lineRule="auto"/>
        <w:ind w:left="357" w:hanging="357"/>
        <w:jc w:val="both"/>
        <w:rPr>
          <w:rtl/>
        </w:rPr>
      </w:pPr>
      <w:r>
        <w:rPr>
          <w:rtl/>
        </w:rPr>
        <w:t xml:space="preserve">יודגש כי כבר בפתח הדיון בבית הדין הרבני, קרי: </w:t>
      </w:r>
      <w:r>
        <w:rPr>
          <w:b/>
          <w:bCs/>
          <w:i/>
          <w:iCs/>
          <w:rtl/>
        </w:rPr>
        <w:t>בהזדמנות הראשונה שבה עמדו הצדדים לפני טריבונל שיפוטי לצורך אישור ההסכם,</w:t>
      </w:r>
      <w:r>
        <w:rPr>
          <w:rtl/>
        </w:rPr>
        <w:t xml:space="preserve"> מאנה האשה ליתן הסכמתה לכך ואף פירטה בפני בית הדין את הנסיבות שקדמו לעריכתו בזו הלשון: "</w:t>
      </w:r>
      <w:r>
        <w:rPr>
          <w:b/>
          <w:bCs/>
          <w:rtl/>
        </w:rPr>
        <w:t xml:space="preserve">הוא לא מספר את התעללויות שעברתי מאז ה18.7, לא נתן לי לישון בלילות, צעק בוקר וערב "זונה", מתקשר ללקוחות שלי "אשתי מזדיינת עם מנהל הסניף". רדף אחרי, 1000 טלפונים באמצע העבודה, בסוף מתברר שכל </w:t>
      </w:r>
      <w:r w:rsidR="001E4491">
        <w:rPr>
          <w:rFonts w:hint="cs"/>
          <w:b/>
          <w:bCs/>
          <w:rtl/>
        </w:rPr>
        <w:t>העיר</w:t>
      </w:r>
      <w:r>
        <w:rPr>
          <w:b/>
          <w:bCs/>
          <w:rtl/>
        </w:rPr>
        <w:t xml:space="preserve"> יודעת שאני מנהלת רומן עם מנהל הסניף. במשך השלושה חודשים האלו, הוא שולח לי שליחים שאומרים בשמו לא היה ולא נברא והוא מבקש סליחה. אבל חוזרים ושוב מתחיל, גם על הבן של אחי, אומר לי "את מזדיינת עם בחור בגיל 25", אני לא רוצה לחיות עם בן אדם שאומר שאני זונה ומזדיינת</w:t>
      </w:r>
      <w:r>
        <w:rPr>
          <w:rtl/>
        </w:rPr>
        <w:t xml:space="preserve">. " (ר' ש' 29-34 לפרוטוקול הדיון בבית הדין הרבני). </w:t>
      </w:r>
    </w:p>
    <w:p w:rsidR="004F54D7" w:rsidRDefault="004F54D7" w:rsidP="004F54D7">
      <w:pPr>
        <w:pStyle w:val="ad"/>
      </w:pPr>
    </w:p>
    <w:p w:rsidR="004F54D7" w:rsidRDefault="004F54D7" w:rsidP="009C694E">
      <w:pPr>
        <w:pStyle w:val="ad"/>
        <w:numPr>
          <w:ilvl w:val="0"/>
          <w:numId w:val="1"/>
        </w:numPr>
        <w:spacing w:after="120" w:line="360" w:lineRule="auto"/>
        <w:ind w:left="357" w:hanging="357"/>
        <w:jc w:val="both"/>
        <w:rPr>
          <w:rtl/>
        </w:rPr>
      </w:pPr>
      <w:r>
        <w:rPr>
          <w:rtl/>
        </w:rPr>
        <w:t>דברי האשה באותה נקודת זמן קריטית, במעמד הדיון בבית הדין הרבני, בשיאו של הסכסוך הזוגי, שדומה שנאמרו מדם לבה, משקפים באופן אותנטי את הלך הרוח והנסיבות שקדמו לחתימת ההסכם בין הצדדים. האיש מצידו אישר בפני ביה"ד, כי חושד באשה שקיימה יחסים עם מנהל ה</w:t>
      </w:r>
      <w:r w:rsidR="009C694E">
        <w:rPr>
          <w:rFonts w:hint="cs"/>
          <w:rtl/>
        </w:rPr>
        <w:t>סניף</w:t>
      </w:r>
      <w:r>
        <w:rPr>
          <w:rtl/>
        </w:rPr>
        <w:t xml:space="preserve"> ואף טען כי אינו יכול לשוב לחיות איתה (ראה שם, בפרוטוקול בית הדין הרבני). </w:t>
      </w:r>
    </w:p>
    <w:p w:rsidR="004F54D7" w:rsidRDefault="004F54D7" w:rsidP="004F54D7">
      <w:pPr>
        <w:pStyle w:val="ad"/>
      </w:pPr>
    </w:p>
    <w:p w:rsidR="004F54D7" w:rsidRDefault="004F54D7" w:rsidP="004F54D7">
      <w:pPr>
        <w:pStyle w:val="ad"/>
        <w:numPr>
          <w:ilvl w:val="0"/>
          <w:numId w:val="1"/>
        </w:numPr>
        <w:spacing w:after="120" w:line="360" w:lineRule="auto"/>
        <w:ind w:left="357" w:hanging="357"/>
        <w:jc w:val="both"/>
        <w:rPr>
          <w:rtl/>
        </w:rPr>
      </w:pPr>
      <w:r>
        <w:rPr>
          <w:rtl/>
        </w:rPr>
        <w:t xml:space="preserve">לנוכח התנגדות האשה וסירוב בית הדין הרבני לאשר את ההסכם, הוגשה מטעם האיש כשלושה חודשים אחר כך, תביעת האיש לבית משפט זה למתן פסק דין הצהרתי. השתלשלות האירועים בפרק הזמן נתון של שישה-שבעה חודשים ועצם הגשת התביעה דנן ע"י האיש מעידים כי הסכם הגירושין לא יצא לפועל ומשכך פנה האיש בתביעה זו בניסיון לאכוף את פסק הדין. </w:t>
      </w:r>
    </w:p>
    <w:p w:rsidR="004F54D7" w:rsidRDefault="004F54D7" w:rsidP="004F54D7">
      <w:pPr>
        <w:pStyle w:val="ad"/>
      </w:pPr>
    </w:p>
    <w:p w:rsidR="004F54D7" w:rsidRDefault="004F54D7" w:rsidP="004F54D7">
      <w:pPr>
        <w:pStyle w:val="ad"/>
        <w:numPr>
          <w:ilvl w:val="0"/>
          <w:numId w:val="1"/>
        </w:numPr>
        <w:spacing w:after="120" w:line="360" w:lineRule="auto"/>
        <w:ind w:left="357" w:hanging="357"/>
        <w:jc w:val="both"/>
        <w:rPr>
          <w:rtl/>
        </w:rPr>
      </w:pPr>
      <w:r>
        <w:rPr>
          <w:rtl/>
        </w:rPr>
        <w:lastRenderedPageBreak/>
        <w:t xml:space="preserve">מני אז מנהלים הצדדים במשך מספר שנים את ההליכים בבית משפט זה, תוך התעקשותו הלא מתפשרת של האיש לאכיפת הסכם הגירושין ותוך דחיית הצעות בית המשפט לקידום הסכמות בין הצדדים או יצירת מתווה חלופי. </w:t>
      </w:r>
    </w:p>
    <w:p w:rsidR="004F54D7" w:rsidRDefault="004F54D7" w:rsidP="004F54D7">
      <w:pPr>
        <w:pStyle w:val="ad"/>
      </w:pPr>
    </w:p>
    <w:p w:rsidR="004F54D7" w:rsidRDefault="004F54D7" w:rsidP="004F54D7">
      <w:pPr>
        <w:pStyle w:val="ad"/>
        <w:numPr>
          <w:ilvl w:val="0"/>
          <w:numId w:val="1"/>
        </w:numPr>
        <w:spacing w:after="120" w:line="360" w:lineRule="auto"/>
        <w:jc w:val="both"/>
        <w:rPr>
          <w:rtl/>
        </w:rPr>
      </w:pPr>
      <w:r>
        <w:rPr>
          <w:rtl/>
        </w:rPr>
        <w:t xml:space="preserve">לא מצאתי, כי הוכחה טענת האיש אודות יישום הסכם הגירושין שנחתם בין הצדדים בידי הצדדים מהלך ארבעת החודים שחלפו ממועד הסכם ההבנות ועד למועד אישור הסכם הגירושין; באופן המקים לאשה מניעות השתק או חוסר תום לב בטענתה בדבר העדר תוקפו מחמת אי אישורו; קל וחומר בפרק הזמן הקצר שחלף מאז נחתם הסכם הגירושין ועד למועד אישור. נהפוך הוא; סבורני, כי </w:t>
      </w:r>
      <w:r>
        <w:rPr>
          <w:b/>
          <w:bCs/>
          <w:rtl/>
        </w:rPr>
        <w:t xml:space="preserve">נסיבותיו של מקרה זה מחדדות ומדגישות את החשיבות הרבה הנעוצה בקיומו של מנגנון אישור הסכם ממון וביתר שאת הסכם גירושין כולל, כקבוע בחוק, ולא בכדי. </w:t>
      </w:r>
    </w:p>
    <w:p w:rsidR="004F54D7" w:rsidRDefault="004F54D7" w:rsidP="004F54D7">
      <w:pPr>
        <w:pStyle w:val="ad"/>
      </w:pPr>
    </w:p>
    <w:p w:rsidR="004F54D7" w:rsidRDefault="004F54D7" w:rsidP="004F54D7">
      <w:pPr>
        <w:pStyle w:val="ad"/>
        <w:numPr>
          <w:ilvl w:val="0"/>
          <w:numId w:val="1"/>
        </w:numPr>
        <w:spacing w:after="120" w:line="360" w:lineRule="auto"/>
        <w:ind w:left="357" w:hanging="357"/>
        <w:jc w:val="both"/>
        <w:rPr>
          <w:rtl/>
        </w:rPr>
      </w:pPr>
      <w:r>
        <w:rPr>
          <w:b/>
          <w:bCs/>
          <w:i/>
          <w:iCs/>
          <w:rtl/>
        </w:rPr>
        <w:t>סמיכות הזמנים היתרה</w:t>
      </w:r>
      <w:r>
        <w:rPr>
          <w:rtl/>
        </w:rPr>
        <w:t xml:space="preserve"> שבין הארועים העומדים בבסיס תביעת האשה ללשון הרע לבין החתימה על ההסכם, לרבות ביקור מנהל הסניף בבית הצדדים מדברת בעד עצמה; מסכת עובדתית זו שקדמה להסכם מבססת את טענת האשה בדבר היותה נתונה לרדיפה בלתי פוסקת מצד האיש. תרמה לכך תרומה משמעותית העובדה, כי האיש בהתנהלותו פרץ את גבולות התא הזוגי למרחב עבודתה של האשה ומטה לחמה. במצב דברים זה, ניתן להסיק כי חתימת האשה על הסכם הגירושין נעשתה מתוך רצון להביא לסיום מערכת היחסים הפוגענית בה הייתה נתונה ובהעדר גמירות הדעת הנדרשת אודות משמעות הוראות ההסכם והשלכותיו. </w:t>
      </w:r>
    </w:p>
    <w:p w:rsidR="004F54D7" w:rsidRDefault="004F54D7" w:rsidP="004F54D7">
      <w:pPr>
        <w:pStyle w:val="ad"/>
      </w:pPr>
    </w:p>
    <w:p w:rsidR="004F54D7" w:rsidRDefault="004F54D7" w:rsidP="004F54D7">
      <w:pPr>
        <w:pStyle w:val="ad"/>
        <w:numPr>
          <w:ilvl w:val="0"/>
          <w:numId w:val="1"/>
        </w:numPr>
        <w:spacing w:after="120" w:line="360" w:lineRule="auto"/>
        <w:jc w:val="both"/>
        <w:rPr>
          <w:rtl/>
        </w:rPr>
      </w:pPr>
      <w:r>
        <w:rPr>
          <w:rtl/>
        </w:rPr>
        <w:t>לא נעלמו מעיני טענות האיש בדבר היות האשה משכילה, עובדת בנק בכירה בזיקה לטענותיו בדבר החתימה על ההסכם ותוקפו במישור החוזי; ברם, בסיומם של הליכי שמיעה ממושכים ואופן התרשמותי מהצדדים והעדים או מי מהם מצאתי לדחות את נסיונו של האיש להציג את עצמו כצד החלש במאזן הכוחות הזוגי, למצער באופן החותר תחת טענות האשה.</w:t>
      </w:r>
    </w:p>
    <w:p w:rsidR="004F54D7" w:rsidRDefault="004F54D7" w:rsidP="004F54D7">
      <w:pPr>
        <w:pStyle w:val="ad"/>
      </w:pPr>
    </w:p>
    <w:p w:rsidR="004F54D7" w:rsidRDefault="004F54D7" w:rsidP="004F54D7">
      <w:pPr>
        <w:pStyle w:val="ad"/>
        <w:numPr>
          <w:ilvl w:val="0"/>
          <w:numId w:val="1"/>
        </w:numPr>
        <w:spacing w:after="120" w:line="360" w:lineRule="auto"/>
        <w:jc w:val="both"/>
        <w:rPr>
          <w:rtl/>
        </w:rPr>
      </w:pPr>
      <w:r>
        <w:rPr>
          <w:rtl/>
        </w:rPr>
        <w:t>מארג היחסים הזוגי שנחשף לפניי וביתר שאת בסמוך לחתימת ההסכם או מי מהם הצביע על תמונת מצב אחרת. נהיר, כי לא תמיד קיימת הלימה בין הרובד התעסוקתי של אדם לבין אופן תפקודו הזוגי במישור היחסים הבינאישי; ויש, כי קיים פער ביניהם, העולה לעיתים אף כדי היפוך, כבנסיבות דנן.</w:t>
      </w:r>
    </w:p>
    <w:p w:rsidR="004F54D7" w:rsidRDefault="004F54D7" w:rsidP="004F54D7">
      <w:pPr>
        <w:pStyle w:val="ad"/>
      </w:pPr>
    </w:p>
    <w:p w:rsidR="004F54D7" w:rsidRDefault="004F54D7" w:rsidP="004F54D7">
      <w:pPr>
        <w:pStyle w:val="ad"/>
        <w:numPr>
          <w:ilvl w:val="0"/>
          <w:numId w:val="1"/>
        </w:numPr>
        <w:spacing w:after="120" w:line="360" w:lineRule="auto"/>
        <w:ind w:left="357" w:hanging="357"/>
        <w:jc w:val="both"/>
        <w:rPr>
          <w:rtl/>
        </w:rPr>
      </w:pPr>
      <w:r>
        <w:rPr>
          <w:rtl/>
        </w:rPr>
        <w:t xml:space="preserve">בהינתן המסקנה אליה הגעתי, לא מצאתי להידרש לבחינת היות תניות ההסכם מקפחות (כטענת האשה). </w:t>
      </w:r>
    </w:p>
    <w:p w:rsidR="004F54D7" w:rsidRDefault="004F54D7" w:rsidP="004F54D7">
      <w:pPr>
        <w:pStyle w:val="ad"/>
      </w:pPr>
    </w:p>
    <w:p w:rsidR="004F54D7" w:rsidRDefault="004F54D7" w:rsidP="004F54D7">
      <w:pPr>
        <w:pStyle w:val="ad"/>
        <w:numPr>
          <w:ilvl w:val="0"/>
          <w:numId w:val="1"/>
        </w:numPr>
        <w:spacing w:after="120" w:line="360" w:lineRule="auto"/>
        <w:ind w:left="357" w:hanging="357"/>
        <w:jc w:val="both"/>
        <w:rPr>
          <w:rtl/>
        </w:rPr>
      </w:pPr>
      <w:r>
        <w:rPr>
          <w:rtl/>
        </w:rPr>
        <w:lastRenderedPageBreak/>
        <w:t>להשלמת תמונת הנתונים, אציין, כי סידור הגט של הצדדים התעכב מחמת האיש, שסרב לתיתו קודם יוכרעו הליכים בבית משפט זה.</w:t>
      </w:r>
    </w:p>
    <w:p w:rsidR="004F54D7" w:rsidRDefault="004F54D7" w:rsidP="004F54D7">
      <w:pPr>
        <w:pStyle w:val="ad"/>
      </w:pPr>
    </w:p>
    <w:p w:rsidR="004F54D7" w:rsidRDefault="004F54D7" w:rsidP="004F54D7">
      <w:pPr>
        <w:spacing w:after="120" w:line="360" w:lineRule="auto"/>
        <w:ind w:left="357"/>
        <w:jc w:val="both"/>
        <w:rPr>
          <w:rtl/>
        </w:rPr>
      </w:pPr>
      <w:r>
        <w:rPr>
          <w:rtl/>
        </w:rPr>
        <w:t>ברם, לבסוף ניתן ביום 30.12.2021</w:t>
      </w:r>
      <w:r>
        <w:rPr>
          <w:b/>
          <w:bCs/>
          <w:i/>
          <w:iCs/>
          <w:rtl/>
        </w:rPr>
        <w:t xml:space="preserve"> פסק דין לחיובו של האיש בגט</w:t>
      </w:r>
      <w:r>
        <w:rPr>
          <w:rtl/>
        </w:rPr>
        <w:t xml:space="preserve">. </w:t>
      </w:r>
    </w:p>
    <w:p w:rsidR="004F54D7" w:rsidRDefault="004F54D7" w:rsidP="004F54D7">
      <w:pPr>
        <w:pStyle w:val="ad"/>
        <w:spacing w:after="120" w:line="360" w:lineRule="auto"/>
        <w:ind w:left="357"/>
        <w:jc w:val="both"/>
        <w:rPr>
          <w:rtl/>
        </w:rPr>
      </w:pPr>
    </w:p>
    <w:p w:rsidR="004F54D7" w:rsidRDefault="004F54D7" w:rsidP="004F54D7">
      <w:pPr>
        <w:pStyle w:val="ad"/>
        <w:numPr>
          <w:ilvl w:val="0"/>
          <w:numId w:val="1"/>
        </w:numPr>
        <w:spacing w:after="120" w:line="360" w:lineRule="auto"/>
        <w:jc w:val="both"/>
        <w:rPr>
          <w:rtl/>
        </w:rPr>
      </w:pPr>
      <w:r>
        <w:rPr>
          <w:rtl/>
        </w:rPr>
        <w:t>בבחינת למעלה מן הצורך, אומר כי עיון בפסק הדין של בית הדין הרבני חושף נדבך נוסף של התנהלותו חסרת תום הלב של האיש, אשר התנה את מתן הגט בוויתור האשה על הדירה, זאת לאחר שהובהר לו מספר פעמים ע"י בית הדין כי ענייני הרכוש בין הצדדים אינם נוגעים להסדרת הגט (ראה בעמוד 6 לפרוטוקול מיום 30.12.2021).</w:t>
      </w:r>
    </w:p>
    <w:p w:rsidR="004F54D7" w:rsidRDefault="004F54D7" w:rsidP="004F54D7">
      <w:pPr>
        <w:pStyle w:val="ad"/>
        <w:spacing w:after="120" w:line="360" w:lineRule="auto"/>
        <w:ind w:left="360"/>
        <w:jc w:val="both"/>
      </w:pPr>
    </w:p>
    <w:p w:rsidR="004F54D7" w:rsidRDefault="004F54D7" w:rsidP="004F54D7">
      <w:pPr>
        <w:pStyle w:val="ad"/>
        <w:spacing w:after="120" w:line="360" w:lineRule="auto"/>
        <w:ind w:left="360"/>
        <w:jc w:val="both"/>
        <w:rPr>
          <w:rFonts w:ascii="David" w:hAnsi="David"/>
          <w:rtl/>
        </w:rPr>
      </w:pPr>
      <w:r>
        <w:rPr>
          <w:rFonts w:ascii="David" w:hAnsi="David"/>
          <w:rtl/>
        </w:rPr>
        <w:t>דומה, למקרא פסק דינו של בית הדין הרבני מיום 30.12.2021, כי בית הדין התרשם ממניפולציות שונות שבהן נקט האיש, והכל במטרה לעגן את האשה עד שתיכנע לדרישתו לאישור הסכם הגירושין.</w:t>
      </w:r>
    </w:p>
    <w:p w:rsidR="007670A6" w:rsidRDefault="007670A6" w:rsidP="004F54D7">
      <w:pPr>
        <w:pStyle w:val="ad"/>
        <w:spacing w:after="120" w:line="360" w:lineRule="auto"/>
        <w:ind w:left="360"/>
        <w:jc w:val="both"/>
        <w:rPr>
          <w:rFonts w:ascii="David" w:hAnsi="David"/>
          <w:rtl/>
        </w:rPr>
      </w:pPr>
    </w:p>
    <w:p w:rsidR="004F54D7" w:rsidRDefault="004F54D7" w:rsidP="007670A6">
      <w:pPr>
        <w:pStyle w:val="ad"/>
        <w:spacing w:after="120" w:line="360" w:lineRule="auto"/>
        <w:ind w:left="360"/>
        <w:jc w:val="both"/>
        <w:rPr>
          <w:rFonts w:ascii="David" w:hAnsi="David"/>
          <w:rtl/>
        </w:rPr>
      </w:pPr>
      <w:r>
        <w:rPr>
          <w:rFonts w:ascii="David" w:hAnsi="David"/>
          <w:rtl/>
        </w:rPr>
        <w:t>כך צוין, כי בדיון מיום 10.11.2021 הופיע האיש ומראהו היה כשל מסומם, לשאלת בית הדין השיב כי שתה נפט. בפסק הדין צוין מפורשות כי "</w:t>
      </w:r>
      <w:r>
        <w:rPr>
          <w:rFonts w:ascii="David" w:hAnsi="David"/>
          <w:b/>
          <w:bCs/>
          <w:rtl/>
        </w:rPr>
        <w:t>התרשמותו של בית הדין הייתה כי מדובר בהצגה מבוימת, או למצער נטילת חומרים מסוימים שישפיעו על ערנותו וישוו לו הופעה לא שפויה, כפי שהבעל הודה. התרשמותו של בית הדין התחזקה עם 'התפקחותו' המפתיעה של הבעל עם התמשכותו של הדיון, כאשר דובר על ענייני רכוש של הצדדים..</w:t>
      </w:r>
      <w:r>
        <w:rPr>
          <w:rFonts w:ascii="David" w:hAnsi="David"/>
          <w:rtl/>
        </w:rPr>
        <w:t>" במקום אחר בפסד הדין, ציין בית הדין: "</w:t>
      </w:r>
      <w:r>
        <w:rPr>
          <w:rFonts w:ascii="David" w:hAnsi="David"/>
          <w:b/>
          <w:bCs/>
          <w:rtl/>
        </w:rPr>
        <w:t>כלומר, למרות החזות הלא שפויה, כביכול, שניסה הבעל לשוות לעצמו, הוא ידע לענות לשאלות בצורה עניינית והביע את דעתו בצורה ברורה: הוא רוצה את כל הדירה, ואז ההסכם יתבצע, והגט יסודר!"</w:t>
      </w:r>
      <w:r>
        <w:rPr>
          <w:rFonts w:ascii="David" w:hAnsi="David"/>
          <w:rtl/>
        </w:rPr>
        <w:t xml:space="preserve"> (ראה פסק הדין אשר צורף להודעת האשה מיום 20.1.2022).</w:t>
      </w:r>
    </w:p>
    <w:p w:rsidR="004F54D7" w:rsidRDefault="004F54D7" w:rsidP="004F54D7">
      <w:pPr>
        <w:pStyle w:val="ad"/>
        <w:rPr>
          <w:rFonts w:ascii="David" w:hAnsi="David"/>
        </w:rPr>
      </w:pPr>
    </w:p>
    <w:p w:rsidR="004F54D7" w:rsidRDefault="007670A6" w:rsidP="004F54D7">
      <w:pPr>
        <w:pStyle w:val="ad"/>
        <w:spacing w:after="120" w:line="360" w:lineRule="auto"/>
        <w:ind w:left="357"/>
        <w:jc w:val="both"/>
        <w:rPr>
          <w:rFonts w:ascii="David" w:hAnsi="David"/>
          <w:rtl/>
        </w:rPr>
      </w:pPr>
      <w:r>
        <w:rPr>
          <w:rFonts w:ascii="David" w:hAnsi="David"/>
          <w:rtl/>
        </w:rPr>
        <w:t xml:space="preserve">בסיפא </w:t>
      </w:r>
      <w:r>
        <w:rPr>
          <w:rFonts w:ascii="David" w:hAnsi="David" w:hint="cs"/>
          <w:rtl/>
        </w:rPr>
        <w:t>ל</w:t>
      </w:r>
      <w:r w:rsidR="004F54D7">
        <w:rPr>
          <w:rFonts w:ascii="David" w:hAnsi="David"/>
          <w:rtl/>
        </w:rPr>
        <w:t xml:space="preserve">פסק דינו, קבע בית הדין כי – </w:t>
      </w:r>
      <w:r w:rsidR="004F54D7">
        <w:rPr>
          <w:rFonts w:ascii="David" w:hAnsi="David"/>
          <w:i/>
          <w:iCs/>
          <w:rtl/>
        </w:rPr>
        <w:t>"</w:t>
      </w:r>
      <w:r w:rsidR="004F54D7">
        <w:rPr>
          <w:rFonts w:ascii="David" w:hAnsi="David"/>
          <w:b/>
          <w:bCs/>
          <w:i/>
          <w:iCs/>
          <w:u w:val="single"/>
          <w:rtl/>
        </w:rPr>
        <w:t>הבעל חפץ בגירושין לא פחות מהאשה, אך הוא משתמש בגט כקלף מיקוח אכזרי כדי להוציא ממנה את כל הדירה</w:t>
      </w:r>
      <w:r w:rsidR="004F54D7">
        <w:rPr>
          <w:rFonts w:ascii="David" w:hAnsi="David"/>
          <w:b/>
          <w:bCs/>
          <w:i/>
          <w:iCs/>
          <w:rtl/>
        </w:rPr>
        <w:t>. הבעל עצמו הגיש תביעה רכושית לבית המשפט בה הוא דרש לחייב את האשה לקבל את הסכם הגירושין המקפח שלו- הסכם שבית הדין דחה בשעתו בשתי ידיים</w:t>
      </w:r>
      <w:r w:rsidR="004F54D7">
        <w:rPr>
          <w:rFonts w:ascii="David" w:hAnsi="David"/>
          <w:i/>
          <w:iCs/>
          <w:rtl/>
        </w:rPr>
        <w:t>."</w:t>
      </w:r>
      <w:r w:rsidR="004F54D7">
        <w:rPr>
          <w:rFonts w:ascii="David" w:hAnsi="David"/>
          <w:rtl/>
        </w:rPr>
        <w:t xml:space="preserve"> (שם, הדגשה לא במקור).</w:t>
      </w:r>
    </w:p>
    <w:p w:rsidR="004F54D7" w:rsidRDefault="004F54D7" w:rsidP="004F54D7">
      <w:pPr>
        <w:pStyle w:val="ad"/>
        <w:spacing w:after="120" w:line="360" w:lineRule="auto"/>
        <w:ind w:left="357"/>
        <w:jc w:val="both"/>
        <w:rPr>
          <w:rtl/>
        </w:rPr>
      </w:pPr>
    </w:p>
    <w:p w:rsidR="004F54D7" w:rsidRDefault="004F54D7" w:rsidP="004F54D7">
      <w:pPr>
        <w:pStyle w:val="ad"/>
        <w:numPr>
          <w:ilvl w:val="0"/>
          <w:numId w:val="1"/>
        </w:numPr>
        <w:spacing w:after="120" w:line="360" w:lineRule="auto"/>
        <w:ind w:left="357" w:hanging="357"/>
        <w:jc w:val="both"/>
      </w:pPr>
      <w:r>
        <w:rPr>
          <w:rtl/>
        </w:rPr>
        <w:t xml:space="preserve">אשר על כן ולאור המקובץ לעיל, מצאתי לדחות את תביעת האיש למתן פסק דין הצהרתי.  </w:t>
      </w:r>
    </w:p>
    <w:p w:rsidR="004F54D7" w:rsidRDefault="004F54D7" w:rsidP="004F54D7">
      <w:pPr>
        <w:pStyle w:val="ad"/>
        <w:spacing w:after="120" w:line="360" w:lineRule="auto"/>
        <w:jc w:val="both"/>
        <w:rPr>
          <w:rtl/>
        </w:rPr>
      </w:pPr>
    </w:p>
    <w:p w:rsidR="007F4084" w:rsidRDefault="007F4084" w:rsidP="004F54D7">
      <w:pPr>
        <w:pStyle w:val="ad"/>
        <w:spacing w:after="120" w:line="360" w:lineRule="auto"/>
        <w:jc w:val="both"/>
        <w:rPr>
          <w:rtl/>
        </w:rPr>
      </w:pPr>
    </w:p>
    <w:p w:rsidR="007F4084" w:rsidRDefault="007F4084" w:rsidP="004F54D7">
      <w:pPr>
        <w:pStyle w:val="ad"/>
        <w:spacing w:after="120" w:line="360" w:lineRule="auto"/>
        <w:jc w:val="both"/>
        <w:rPr>
          <w:rtl/>
        </w:rPr>
      </w:pPr>
    </w:p>
    <w:p w:rsidR="004F54D7" w:rsidRDefault="004F54D7" w:rsidP="004F54D7">
      <w:pPr>
        <w:spacing w:after="120" w:line="360" w:lineRule="auto"/>
        <w:jc w:val="both"/>
        <w:rPr>
          <w:b/>
          <w:bCs/>
          <w:u w:val="single"/>
        </w:rPr>
      </w:pPr>
      <w:r>
        <w:rPr>
          <w:b/>
          <w:bCs/>
          <w:u w:val="single"/>
          <w:rtl/>
        </w:rPr>
        <w:lastRenderedPageBreak/>
        <w:t>תביעה לפירוק שיתוף ודמי שימוש ראויים</w:t>
      </w:r>
    </w:p>
    <w:p w:rsidR="004F54D7" w:rsidRDefault="00F26C9D" w:rsidP="004F54D7">
      <w:pPr>
        <w:spacing w:after="120" w:line="360" w:lineRule="auto"/>
        <w:jc w:val="both"/>
        <w:rPr>
          <w:b/>
          <w:bCs/>
          <w:u w:val="single"/>
          <w:rtl/>
        </w:rPr>
      </w:pPr>
      <w:r>
        <w:rPr>
          <w:b/>
          <w:bCs/>
          <w:u w:val="single"/>
          <w:rtl/>
        </w:rPr>
        <w:t xml:space="preserve">פירוק </w:t>
      </w:r>
      <w:r w:rsidR="004F54D7">
        <w:rPr>
          <w:b/>
          <w:bCs/>
          <w:u w:val="single"/>
          <w:rtl/>
        </w:rPr>
        <w:t>שיתוף</w:t>
      </w:r>
    </w:p>
    <w:p w:rsidR="004F54D7" w:rsidRDefault="004F54D7" w:rsidP="004F54D7">
      <w:pPr>
        <w:pStyle w:val="ad"/>
        <w:numPr>
          <w:ilvl w:val="0"/>
          <w:numId w:val="1"/>
        </w:numPr>
        <w:spacing w:after="120" w:line="360" w:lineRule="auto"/>
        <w:ind w:left="357" w:hanging="357"/>
        <w:jc w:val="both"/>
        <w:rPr>
          <w:rtl/>
        </w:rPr>
      </w:pPr>
      <w:r>
        <w:rPr>
          <w:rtl/>
        </w:rPr>
        <w:t xml:space="preserve">האשה עתרה בתביעה לפירוק שיתוף בדירת המגורים וחיוב האיש בדמי שימוש ראויים ממועד עזיבתה את הדירה. </w:t>
      </w:r>
    </w:p>
    <w:p w:rsidR="004F54D7" w:rsidRDefault="004F54D7" w:rsidP="004F54D7">
      <w:pPr>
        <w:pStyle w:val="ad"/>
        <w:spacing w:after="120" w:line="360" w:lineRule="auto"/>
        <w:ind w:left="357"/>
        <w:jc w:val="both"/>
      </w:pPr>
    </w:p>
    <w:p w:rsidR="004F54D7" w:rsidRDefault="004F54D7" w:rsidP="004F54D7">
      <w:pPr>
        <w:pStyle w:val="ad"/>
        <w:numPr>
          <w:ilvl w:val="0"/>
          <w:numId w:val="1"/>
        </w:numPr>
        <w:spacing w:after="120" w:line="360" w:lineRule="auto"/>
        <w:ind w:left="357" w:hanging="357"/>
        <w:jc w:val="both"/>
      </w:pPr>
      <w:r>
        <w:rPr>
          <w:rtl/>
        </w:rPr>
        <w:t xml:space="preserve">טענת ההגנה העיקרית שהועלתה מצד האיש, הייתה כי אין מקום להורות על פירוק השיתוף, נוכח הסכם הגירושין שנחתם בין הצדדים ולפיו דירת המגורים תועבר לבעלותו הבלעדית. </w:t>
      </w:r>
    </w:p>
    <w:p w:rsidR="004F54D7" w:rsidRDefault="004F54D7" w:rsidP="004F54D7">
      <w:pPr>
        <w:pStyle w:val="ad"/>
      </w:pPr>
    </w:p>
    <w:p w:rsidR="004F54D7" w:rsidRDefault="004F54D7" w:rsidP="004F54D7">
      <w:pPr>
        <w:pStyle w:val="ad"/>
        <w:numPr>
          <w:ilvl w:val="0"/>
          <w:numId w:val="1"/>
        </w:numPr>
        <w:spacing w:after="120" w:line="360" w:lineRule="auto"/>
        <w:ind w:left="357" w:hanging="357"/>
        <w:jc w:val="both"/>
        <w:rPr>
          <w:rtl/>
        </w:rPr>
      </w:pPr>
      <w:r>
        <w:rPr>
          <w:rtl/>
        </w:rPr>
        <w:t xml:space="preserve">ברם בהינתן דחיית תביעת האיש, כאמור לעיל, ומשאין מחלוקת בדבר זכויותיהם הקנייניות של הצדדים בדירת המגורים, בהן כרוכה זכות קנויה לדרישת פירוק שיתוף בכל עת כשותפים במקרקעין, הרי שמצאתי להורות כדלקמן: </w:t>
      </w:r>
    </w:p>
    <w:p w:rsidR="004F54D7" w:rsidRDefault="004F54D7" w:rsidP="004F54D7">
      <w:pPr>
        <w:pStyle w:val="ad"/>
      </w:pPr>
    </w:p>
    <w:p w:rsidR="004F54D7" w:rsidRDefault="004F54D7" w:rsidP="004F54D7">
      <w:pPr>
        <w:pStyle w:val="ad"/>
        <w:numPr>
          <w:ilvl w:val="0"/>
          <w:numId w:val="6"/>
        </w:numPr>
        <w:spacing w:after="120" w:line="360" w:lineRule="auto"/>
        <w:jc w:val="both"/>
        <w:rPr>
          <w:rtl/>
        </w:rPr>
      </w:pPr>
      <w:r>
        <w:rPr>
          <w:rtl/>
        </w:rPr>
        <w:t xml:space="preserve">ניתן בזאת צו לפירוק שיתוף בדירת המגורים. </w:t>
      </w:r>
    </w:p>
    <w:p w:rsidR="00CC3425" w:rsidRDefault="00CC3425" w:rsidP="00CC3425">
      <w:pPr>
        <w:pStyle w:val="ad"/>
        <w:spacing w:after="120" w:line="360" w:lineRule="auto"/>
        <w:ind w:left="717"/>
        <w:jc w:val="both"/>
      </w:pPr>
    </w:p>
    <w:p w:rsidR="004F54D7" w:rsidRDefault="004F54D7" w:rsidP="00CC3425">
      <w:pPr>
        <w:pStyle w:val="ad"/>
        <w:numPr>
          <w:ilvl w:val="0"/>
          <w:numId w:val="6"/>
        </w:numPr>
        <w:spacing w:after="120" w:line="360" w:lineRule="auto"/>
        <w:jc w:val="both"/>
      </w:pPr>
      <w:r>
        <w:rPr>
          <w:rtl/>
        </w:rPr>
        <w:t xml:space="preserve">הפרוק יעשה בדרך של מכירתה של הדירה כפנויה, למרבה במחיר ואין צריך לומר כי כל אחד מהצדדים רשאי להיות המרבה במחיר, כאשר התמורה, בניכוי הוצאות המכירה וחובות הקשורים לדירה, תחולק בין הצדדים, בחלקים שווים ביניהם. </w:t>
      </w:r>
    </w:p>
    <w:p w:rsidR="004F54D7" w:rsidRPr="00CC3425" w:rsidRDefault="004F54D7" w:rsidP="004F54D7">
      <w:pPr>
        <w:pStyle w:val="ad"/>
        <w:spacing w:after="120" w:line="360" w:lineRule="auto"/>
        <w:ind w:left="717"/>
        <w:jc w:val="both"/>
        <w:rPr>
          <w:rtl/>
        </w:rPr>
      </w:pPr>
    </w:p>
    <w:p w:rsidR="004F54D7" w:rsidRDefault="00CC3425" w:rsidP="00CC3425">
      <w:pPr>
        <w:pStyle w:val="ad"/>
        <w:numPr>
          <w:ilvl w:val="0"/>
          <w:numId w:val="6"/>
        </w:numPr>
        <w:spacing w:after="120" w:line="360" w:lineRule="auto"/>
        <w:jc w:val="both"/>
        <w:rPr>
          <w:rtl/>
        </w:rPr>
      </w:pPr>
      <w:r>
        <w:rPr>
          <w:rFonts w:hint="cs"/>
          <w:rtl/>
        </w:rPr>
        <w:t xml:space="preserve">בשקלול שבין עוצמת הקונפליקט לבין אינטרסיהם המשותפים של הצדדים למקסום רווחים ינסו </w:t>
      </w:r>
      <w:r w:rsidR="004F54D7">
        <w:rPr>
          <w:rtl/>
        </w:rPr>
        <w:t xml:space="preserve">הצדדים למכור הדירה בכוחות עצמם </w:t>
      </w:r>
      <w:r>
        <w:rPr>
          <w:rFonts w:hint="cs"/>
          <w:rtl/>
        </w:rPr>
        <w:t xml:space="preserve">אך זאת </w:t>
      </w:r>
      <w:r w:rsidR="004F54D7">
        <w:rPr>
          <w:rtl/>
        </w:rPr>
        <w:t xml:space="preserve">במשך </w:t>
      </w:r>
      <w:r>
        <w:rPr>
          <w:rFonts w:hint="cs"/>
          <w:rtl/>
        </w:rPr>
        <w:t>45</w:t>
      </w:r>
      <w:r w:rsidR="004F54D7">
        <w:rPr>
          <w:rtl/>
        </w:rPr>
        <w:t xml:space="preserve"> יום. היה והדבר לא יעלה בידם בתקופה האמורה, ולא תבוא כל הודעה מוסכמת להארכתה, מתמנים בזאת ב"כ הצדדים ככונסי נכסים לצורך ביצוע המכירה וחלוקת התמורה כאמור לעיל. </w:t>
      </w:r>
    </w:p>
    <w:p w:rsidR="004F54D7" w:rsidRDefault="004F54D7" w:rsidP="004F54D7">
      <w:pPr>
        <w:pStyle w:val="ad"/>
        <w:spacing w:after="120" w:line="360" w:lineRule="auto"/>
        <w:ind w:left="717"/>
        <w:jc w:val="both"/>
        <w:rPr>
          <w:rtl/>
        </w:rPr>
      </w:pPr>
    </w:p>
    <w:p w:rsidR="004F54D7" w:rsidRDefault="004F54D7" w:rsidP="004F54D7">
      <w:pPr>
        <w:pStyle w:val="ad"/>
        <w:numPr>
          <w:ilvl w:val="0"/>
          <w:numId w:val="6"/>
        </w:numPr>
        <w:spacing w:after="120" w:line="360" w:lineRule="auto"/>
        <w:jc w:val="both"/>
        <w:rPr>
          <w:rtl/>
        </w:rPr>
      </w:pPr>
      <w:r>
        <w:rPr>
          <w:rtl/>
        </w:rPr>
        <w:t>ככל שהליך כינוס הנכסים יכנס לתוקף, הוא יעשה במסגרת לשכת ההוצאה לפועל, תחת הוראותיו של כב' רשם ההוצאה לפועל.</w:t>
      </w:r>
    </w:p>
    <w:p w:rsidR="004F54D7" w:rsidRDefault="004F54D7" w:rsidP="004F54D7">
      <w:pPr>
        <w:pStyle w:val="ad"/>
        <w:rPr>
          <w:rtl/>
        </w:rPr>
      </w:pPr>
    </w:p>
    <w:p w:rsidR="004F54D7" w:rsidRDefault="004F54D7" w:rsidP="004F54D7">
      <w:pPr>
        <w:spacing w:after="120" w:line="360" w:lineRule="auto"/>
        <w:jc w:val="both"/>
        <w:rPr>
          <w:b/>
          <w:bCs/>
          <w:u w:val="single"/>
          <w:rtl/>
        </w:rPr>
      </w:pPr>
      <w:r>
        <w:rPr>
          <w:b/>
          <w:bCs/>
          <w:u w:val="single"/>
          <w:rtl/>
        </w:rPr>
        <w:t>דמי שימוש</w:t>
      </w:r>
    </w:p>
    <w:p w:rsidR="004F54D7" w:rsidRDefault="004F54D7" w:rsidP="004F54D7">
      <w:pPr>
        <w:pStyle w:val="ad"/>
        <w:numPr>
          <w:ilvl w:val="0"/>
          <w:numId w:val="1"/>
        </w:numPr>
        <w:spacing w:after="120" w:line="360" w:lineRule="auto"/>
        <w:ind w:left="357" w:hanging="357"/>
        <w:jc w:val="both"/>
        <w:rPr>
          <w:rtl/>
        </w:rPr>
      </w:pPr>
      <w:r>
        <w:rPr>
          <w:rtl/>
        </w:rPr>
        <w:t xml:space="preserve">במסגרת תביעתה, עתרה האשה לחיוב האיש בסך של 3,000 ₪ לחודש, מחצית מדמי השכירות המוערכים בסך של 6,000 ₪ לחודש, החל מחודש יולי 2017 ועד לפינוי בפועל של דירת המגורים בידי האיש. </w:t>
      </w:r>
    </w:p>
    <w:p w:rsidR="00146E8E" w:rsidRPr="00146E8E" w:rsidRDefault="00146E8E" w:rsidP="00146E8E">
      <w:pPr>
        <w:pStyle w:val="ad"/>
        <w:spacing w:after="120" w:line="360" w:lineRule="auto"/>
        <w:ind w:left="357"/>
        <w:jc w:val="both"/>
        <w:rPr>
          <w:sz w:val="10"/>
          <w:szCs w:val="10"/>
        </w:rPr>
      </w:pPr>
    </w:p>
    <w:p w:rsidR="00146E8E" w:rsidRDefault="004F54D7" w:rsidP="00AC7F1F">
      <w:pPr>
        <w:pStyle w:val="ad"/>
        <w:numPr>
          <w:ilvl w:val="0"/>
          <w:numId w:val="1"/>
        </w:numPr>
        <w:spacing w:after="120" w:line="360" w:lineRule="auto"/>
        <w:ind w:left="357" w:hanging="357"/>
        <w:jc w:val="both"/>
      </w:pPr>
      <w:r>
        <w:rPr>
          <w:rtl/>
        </w:rPr>
        <w:lastRenderedPageBreak/>
        <w:t xml:space="preserve">לטענת האיש, האשה עזבה מרצונה את דירת המגורים, בשל רצונה להתגרש, משכך ומשלא הייתה כל מניעה בכניסתה לדירה, אין מקום לחייבו בדמי שימוש. </w:t>
      </w:r>
    </w:p>
    <w:p w:rsidR="00146E8E" w:rsidRDefault="00146E8E" w:rsidP="00146E8E">
      <w:pPr>
        <w:pStyle w:val="ad"/>
        <w:rPr>
          <w:rtl/>
        </w:rPr>
      </w:pPr>
    </w:p>
    <w:p w:rsidR="004F54D7" w:rsidRPr="00146E8E" w:rsidRDefault="004F54D7" w:rsidP="00146E8E">
      <w:pPr>
        <w:pStyle w:val="ad"/>
        <w:numPr>
          <w:ilvl w:val="0"/>
          <w:numId w:val="1"/>
        </w:numPr>
        <w:spacing w:after="120" w:line="360" w:lineRule="auto"/>
        <w:ind w:left="357" w:hanging="357"/>
        <w:jc w:val="both"/>
        <w:rPr>
          <w:rtl/>
        </w:rPr>
      </w:pPr>
      <w:r w:rsidRPr="00146E8E">
        <w:rPr>
          <w:rtl/>
        </w:rPr>
        <w:t>נותרה אפוא להכרעה השאלה: היש מקום לחיוב האיש בדמי שימוש ראויים ממועד עזיבתה של האשה את דירת המגורים לאור השימוש הבלעדי שעושה בנכס?</w:t>
      </w:r>
    </w:p>
    <w:p w:rsidR="004F54D7" w:rsidRDefault="004F54D7" w:rsidP="004F54D7">
      <w:pPr>
        <w:pStyle w:val="ad"/>
        <w:rPr>
          <w:b/>
          <w:bCs/>
        </w:rPr>
      </w:pPr>
    </w:p>
    <w:p w:rsidR="004F54D7" w:rsidRDefault="004F54D7" w:rsidP="004F54D7">
      <w:pPr>
        <w:rPr>
          <w:b/>
          <w:bCs/>
          <w:u w:val="single"/>
          <w:rtl/>
        </w:rPr>
      </w:pPr>
      <w:r>
        <w:rPr>
          <w:b/>
          <w:bCs/>
          <w:u w:val="single"/>
          <w:rtl/>
        </w:rPr>
        <w:t xml:space="preserve">מסגרת נורמטיבית </w:t>
      </w:r>
    </w:p>
    <w:p w:rsidR="004F54D7" w:rsidRDefault="004F54D7" w:rsidP="004F54D7">
      <w:pPr>
        <w:rPr>
          <w:rtl/>
        </w:rPr>
      </w:pPr>
    </w:p>
    <w:p w:rsidR="004F54D7" w:rsidRDefault="00140C73" w:rsidP="00140C73">
      <w:pPr>
        <w:pStyle w:val="ad"/>
        <w:numPr>
          <w:ilvl w:val="0"/>
          <w:numId w:val="1"/>
        </w:numPr>
        <w:spacing w:after="120" w:line="360" w:lineRule="auto"/>
        <w:ind w:left="357" w:hanging="357"/>
        <w:jc w:val="both"/>
        <w:rPr>
          <w:rFonts w:ascii="David" w:hAnsi="David"/>
          <w:rtl/>
        </w:rPr>
      </w:pPr>
      <w:r>
        <w:rPr>
          <w:rFonts w:ascii="David" w:hAnsi="David" w:hint="cs"/>
          <w:rtl/>
        </w:rPr>
        <w:t xml:space="preserve">בפסיקה קיים דיון ענף </w:t>
      </w:r>
      <w:r w:rsidR="004F54D7">
        <w:rPr>
          <w:rFonts w:ascii="David" w:hAnsi="David"/>
          <w:rtl/>
        </w:rPr>
        <w:t>אודות סוגיית דמי שימוש (שכר ראוי) על מקורותיה הנורמטיביים של שותפים במקרקעין ככלל, והדברים ידועים (ר' סעיפים 31, 33 לחוק המקרקעין תשכ"ט-1933; סעיפים 39,61 לחוק החוזים (חלק כללי), תשל"ג -1973; חוק עשיית עושר ולא במשפט, תשל"ט-1979).</w:t>
      </w:r>
    </w:p>
    <w:p w:rsidR="004F54D7" w:rsidRDefault="004F54D7" w:rsidP="004F54D7">
      <w:pPr>
        <w:pStyle w:val="ad"/>
        <w:rPr>
          <w:rFonts w:ascii="David" w:hAnsi="David"/>
          <w:rtl/>
        </w:rPr>
      </w:pPr>
    </w:p>
    <w:p w:rsidR="004F54D7" w:rsidRDefault="004F54D7" w:rsidP="004F54D7">
      <w:pPr>
        <w:pStyle w:val="ad"/>
        <w:numPr>
          <w:ilvl w:val="0"/>
          <w:numId w:val="1"/>
        </w:numPr>
        <w:spacing w:after="120" w:line="360" w:lineRule="auto"/>
        <w:ind w:left="357" w:hanging="357"/>
        <w:jc w:val="both"/>
        <w:rPr>
          <w:rFonts w:ascii="David" w:hAnsi="David"/>
        </w:rPr>
      </w:pPr>
      <w:r>
        <w:rPr>
          <w:rFonts w:ascii="David" w:hAnsi="David"/>
          <w:rtl/>
        </w:rPr>
        <w:t xml:space="preserve">כן הכירה הפסיקה </w:t>
      </w:r>
      <w:r>
        <w:rPr>
          <w:rFonts w:ascii="David" w:hAnsi="David"/>
          <w:b/>
          <w:bCs/>
          <w:rtl/>
        </w:rPr>
        <w:t>בייחודו הנורמטיבי של הסכסוך המשפחתי</w:t>
      </w:r>
      <w:r>
        <w:rPr>
          <w:rFonts w:ascii="David" w:hAnsi="David"/>
          <w:rtl/>
        </w:rPr>
        <w:t xml:space="preserve"> ככזה המצדיק דיון מובחן בסוגיה זו בעניינם של שותפים במקרקעין שהינם בני זוג. כאן נדרשת בחינה המביאה בחשבון את </w:t>
      </w:r>
      <w:r>
        <w:rPr>
          <w:rFonts w:ascii="David" w:hAnsi="David"/>
          <w:b/>
          <w:bCs/>
          <w:rtl/>
        </w:rPr>
        <w:t>נסיבות הסכסוך</w:t>
      </w:r>
      <w:r>
        <w:rPr>
          <w:rFonts w:ascii="David" w:hAnsi="David"/>
          <w:rtl/>
        </w:rPr>
        <w:t xml:space="preserve">, כמו גם את </w:t>
      </w:r>
      <w:r>
        <w:rPr>
          <w:rFonts w:ascii="David" w:hAnsi="David"/>
          <w:b/>
          <w:bCs/>
          <w:rtl/>
        </w:rPr>
        <w:t>מורכבות הסכסוך ואת היות הסעד רכיב מכלל רכיבי</w:t>
      </w:r>
      <w:r>
        <w:rPr>
          <w:rFonts w:ascii="David" w:hAnsi="David"/>
          <w:rtl/>
        </w:rPr>
        <w:t xml:space="preserve"> הסכסוך </w:t>
      </w:r>
      <w:r>
        <w:rPr>
          <w:rFonts w:ascii="David" w:hAnsi="David"/>
          <w:rtl/>
        </w:rPr>
        <w:br/>
        <w:t xml:space="preserve">הזוגי-משפחתי על מערך הדינים המשפחתי (ר' למשל, בע"מ 9126/05 </w:t>
      </w:r>
      <w:r>
        <w:rPr>
          <w:rFonts w:ascii="David" w:hAnsi="David"/>
          <w:b/>
          <w:bCs/>
          <w:rtl/>
        </w:rPr>
        <w:t xml:space="preserve">פלונית נ' פלוני </w:t>
      </w:r>
      <w:r>
        <w:rPr>
          <w:rFonts w:ascii="David" w:hAnsi="David"/>
          <w:rtl/>
        </w:rPr>
        <w:t xml:space="preserve">(פורסם במאגרים האלקטרוניים, 26.1.06; בבע"מ 9881/05 </w:t>
      </w:r>
      <w:r>
        <w:rPr>
          <w:rFonts w:ascii="David" w:hAnsi="David"/>
          <w:b/>
          <w:bCs/>
          <w:rtl/>
        </w:rPr>
        <w:t xml:space="preserve">פלוני נ' פלונית </w:t>
      </w:r>
      <w:r>
        <w:rPr>
          <w:rFonts w:ascii="David" w:hAnsi="David"/>
          <w:rtl/>
        </w:rPr>
        <w:t xml:space="preserve">(פורסם במאגרים האלקטרוניים, 9.4.06; ובבע"מ 5357/06 </w:t>
      </w:r>
      <w:r>
        <w:rPr>
          <w:rFonts w:ascii="David" w:hAnsi="David"/>
          <w:b/>
          <w:bCs/>
          <w:rtl/>
        </w:rPr>
        <w:t xml:space="preserve">פלוני נ' פלונית </w:t>
      </w:r>
      <w:r>
        <w:rPr>
          <w:rFonts w:ascii="David" w:hAnsi="David"/>
          <w:rtl/>
        </w:rPr>
        <w:t>(פורסם במאגרים האלקטרוניים, 22.10.06)).</w:t>
      </w:r>
    </w:p>
    <w:p w:rsidR="004F54D7" w:rsidRDefault="004F54D7" w:rsidP="004F54D7">
      <w:pPr>
        <w:pStyle w:val="ad"/>
        <w:rPr>
          <w:rFonts w:ascii="David" w:hAnsi="David"/>
        </w:rPr>
      </w:pPr>
    </w:p>
    <w:p w:rsidR="004F54D7" w:rsidRDefault="004F54D7" w:rsidP="004F54D7">
      <w:pPr>
        <w:pStyle w:val="ad"/>
        <w:spacing w:after="200" w:line="360" w:lineRule="auto"/>
        <w:jc w:val="both"/>
        <w:rPr>
          <w:rFonts w:ascii="David" w:hAnsi="David"/>
          <w:rtl/>
        </w:rPr>
      </w:pPr>
      <w:r>
        <w:rPr>
          <w:rFonts w:ascii="David" w:hAnsi="David"/>
          <w:b/>
          <w:bCs/>
          <w:i/>
          <w:iCs/>
          <w:rtl/>
        </w:rPr>
        <w:t>"...</w:t>
      </w:r>
      <w:r>
        <w:rPr>
          <w:rFonts w:ascii="David" w:hAnsi="David"/>
          <w:b/>
          <w:bCs/>
          <w:i/>
          <w:iCs/>
          <w:u w:val="single"/>
          <w:rtl/>
        </w:rPr>
        <w:t xml:space="preserve"> אין מקום לקבוע מסמרות וכי יש לבחון כל מקרה לנסיבותיו</w:t>
      </w:r>
      <w:r>
        <w:rPr>
          <w:rFonts w:ascii="David" w:hAnsi="David"/>
          <w:b/>
          <w:bCs/>
          <w:i/>
          <w:iCs/>
          <w:rtl/>
        </w:rPr>
        <w:t xml:space="preserve">. [...] יתר על כן, נראה כי גם התנהלות שיש בה משום חוסר תום לב, תהיה לה השפעה על קביעת החבות או הפטור. </w:t>
      </w:r>
      <w:r>
        <w:rPr>
          <w:rFonts w:ascii="David" w:hAnsi="David"/>
          <w:b/>
          <w:bCs/>
          <w:i/>
          <w:iCs/>
          <w:u w:val="single"/>
          <w:rtl/>
        </w:rPr>
        <w:t>במיוחד יפים הדברים בעת שעסקינן בבני זוג</w:t>
      </w:r>
      <w:r>
        <w:rPr>
          <w:rFonts w:ascii="David" w:hAnsi="David"/>
          <w:b/>
          <w:bCs/>
          <w:i/>
          <w:iCs/>
          <w:rtl/>
        </w:rPr>
        <w:t xml:space="preserve">, אשר דרך כלל דרישת דמי שימוש ראויים, אינה עומדת לכשעצמה, אלא מהווה היא </w:t>
      </w:r>
      <w:r>
        <w:rPr>
          <w:rFonts w:ascii="David" w:hAnsi="David"/>
          <w:b/>
          <w:bCs/>
          <w:i/>
          <w:iCs/>
          <w:u w:val="single"/>
          <w:rtl/>
        </w:rPr>
        <w:t>רכיב נוסף, בין שאר הרכיבים הקשורים לסכסוך בין בני הזוג. משכך, יש לבחון את כל ההיבטים הקשורים לסכסוך הקונקרטי</w:t>
      </w:r>
      <w:r>
        <w:rPr>
          <w:rFonts w:ascii="David" w:hAnsi="David"/>
          <w:b/>
          <w:bCs/>
          <w:i/>
          <w:iCs/>
          <w:rtl/>
        </w:rPr>
        <w:t xml:space="preserve"> שבין בני הזוג, על מנת לקבוע אם אכן קיימת חבות בדמי שימוש, ואף אם כן, מהי תקופת החיוב  ומה יהיה שיעור החיוב</w:t>
      </w:r>
      <w:r>
        <w:rPr>
          <w:rFonts w:ascii="David" w:hAnsi="David"/>
          <w:i/>
          <w:iCs/>
          <w:rtl/>
        </w:rPr>
        <w:t>"</w:t>
      </w:r>
      <w:r>
        <w:rPr>
          <w:rFonts w:ascii="David" w:hAnsi="David"/>
          <w:rtl/>
        </w:rPr>
        <w:t xml:space="preserve"> (עמ"ש (ת"א) 7396-12-09 </w:t>
      </w:r>
      <w:r>
        <w:rPr>
          <w:rFonts w:ascii="David" w:hAnsi="David"/>
          <w:b/>
          <w:bCs/>
          <w:rtl/>
        </w:rPr>
        <w:t xml:space="preserve">פלונית נ' אלמוני </w:t>
      </w:r>
      <w:r>
        <w:rPr>
          <w:rFonts w:ascii="David" w:hAnsi="David"/>
          <w:rtl/>
        </w:rPr>
        <w:t xml:space="preserve">(פורסם במאגרים האלקטרוניים, 21.4.13) סעיף 28 לפסה"ד של כב' השופט ישעיהו שנלר; הדגשות לא במקור- ה.מ.ש; עוד ר' עמדת השופט ניצן סילמן בדבר היקף שיקול הדעת השיפוטי המוקנה לביהמ"ש בסכסוכים מעין אלה בתמש (קריות) 1326/01 </w:t>
      </w:r>
      <w:r>
        <w:rPr>
          <w:rFonts w:ascii="David" w:hAnsi="David"/>
          <w:b/>
          <w:bCs/>
          <w:rtl/>
        </w:rPr>
        <w:t>פלונית נ' פלוני</w:t>
      </w:r>
      <w:r>
        <w:rPr>
          <w:rFonts w:ascii="David" w:hAnsi="David"/>
          <w:rtl/>
        </w:rPr>
        <w:t xml:space="preserve"> (פורסם במאגרים האלקטרוניים, 16.6.09, סעיף 28 לפסה"ד).</w:t>
      </w:r>
    </w:p>
    <w:p w:rsidR="004F54D7" w:rsidRDefault="004F54D7" w:rsidP="004F54D7">
      <w:pPr>
        <w:pStyle w:val="ad"/>
        <w:spacing w:after="200" w:line="360" w:lineRule="auto"/>
        <w:jc w:val="both"/>
        <w:rPr>
          <w:rFonts w:ascii="David" w:hAnsi="David"/>
          <w:rtl/>
        </w:rPr>
      </w:pPr>
    </w:p>
    <w:p w:rsidR="004F54D7" w:rsidRDefault="004F54D7" w:rsidP="004F54D7">
      <w:pPr>
        <w:pStyle w:val="ad"/>
        <w:numPr>
          <w:ilvl w:val="0"/>
          <w:numId w:val="1"/>
        </w:numPr>
        <w:spacing w:after="120" w:line="360" w:lineRule="auto"/>
        <w:ind w:left="357" w:hanging="357"/>
        <w:jc w:val="both"/>
        <w:rPr>
          <w:b/>
          <w:bCs/>
          <w:i/>
          <w:iCs/>
        </w:rPr>
      </w:pPr>
      <w:r>
        <w:rPr>
          <w:rFonts w:ascii="David" w:hAnsi="David"/>
          <w:rtl/>
        </w:rPr>
        <w:lastRenderedPageBreak/>
        <w:t xml:space="preserve">עמדות שונות הועלו בפסיקה בהתייחס לפסיקת דמי שימוש, החל מהלכת זרקא הידועה (ע"א 1492/90 </w:t>
      </w:r>
      <w:r>
        <w:rPr>
          <w:rFonts w:ascii="David" w:hAnsi="David"/>
          <w:b/>
          <w:bCs/>
          <w:rtl/>
        </w:rPr>
        <w:t xml:space="preserve">נאיפה סעיד זרקא נ' סלמאן פארס </w:t>
      </w:r>
      <w:r>
        <w:rPr>
          <w:rFonts w:ascii="David" w:hAnsi="David"/>
          <w:rtl/>
        </w:rPr>
        <w:t xml:space="preserve">(פורסם במאגרים האלקטרוניים, 20.1.91) דרך פסיקות מנחות ומחייבות על כלל הערכאות המתארות את שיקול הדעת הנרחב שבידי בית משפט זה בעת שנפנה לבחינת הסוגיה; </w:t>
      </w:r>
      <w:r>
        <w:rPr>
          <w:rtl/>
        </w:rPr>
        <w:t>כך  בבע"מ (מחוזי י-ם) 674/01 שרעבי נ' בר שי [פורסם בנבו] [ניתן ביום 19/9/02], נפסק</w:t>
      </w:r>
      <w:r>
        <w:rPr>
          <w:b/>
          <w:bCs/>
          <w:i/>
          <w:iCs/>
          <w:rtl/>
        </w:rPr>
        <w:t xml:space="preserve">:  "הפסיקה קבעה כי החיוב יחול רק כאשר השימוש של השותף הנו אסור, ואין המדובר בשימוש הנובע מעזיבה סתם של האחר". </w:t>
      </w:r>
      <w:r>
        <w:rPr>
          <w:rtl/>
        </w:rPr>
        <w:t>מנגד נפסק כי</w:t>
      </w:r>
      <w:r>
        <w:rPr>
          <w:b/>
          <w:bCs/>
          <w:i/>
          <w:iCs/>
          <w:rtl/>
        </w:rPr>
        <w:t xml:space="preserve"> "העובדה שעקב סכסוך עוזב אחד מבני הזוג את דירת המגורים- אפילו מרצונו-אינה מעידה כשלעצמה כי הוא מוותר על זכויותיו הקנייניות בדירה, ובכלל זאת הזכות ל"שכר ראוי עבור השימוש".  (ראה בע"מ 9881/05 פלוני נ' פלונית [פורסם בנבו] (2006).</w:t>
      </w:r>
    </w:p>
    <w:p w:rsidR="004F54D7" w:rsidRPr="00CC3425" w:rsidRDefault="00CC3425" w:rsidP="00874589">
      <w:pPr>
        <w:spacing w:after="120" w:line="360" w:lineRule="auto"/>
        <w:jc w:val="both"/>
        <w:rPr>
          <w:b/>
          <w:bCs/>
          <w:u w:val="single"/>
        </w:rPr>
      </w:pPr>
      <w:r w:rsidRPr="00CC3425">
        <w:rPr>
          <w:rFonts w:hint="cs"/>
          <w:b/>
          <w:bCs/>
          <w:u w:val="single"/>
          <w:rtl/>
        </w:rPr>
        <w:t>ולנסיבות דנא</w:t>
      </w:r>
    </w:p>
    <w:p w:rsidR="004F54D7" w:rsidRDefault="004F54D7" w:rsidP="004F54D7">
      <w:pPr>
        <w:pStyle w:val="ad"/>
        <w:numPr>
          <w:ilvl w:val="0"/>
          <w:numId w:val="1"/>
        </w:numPr>
        <w:spacing w:after="120" w:line="360" w:lineRule="auto"/>
        <w:ind w:left="357" w:hanging="357"/>
        <w:jc w:val="both"/>
      </w:pPr>
      <w:r>
        <w:rPr>
          <w:rtl/>
        </w:rPr>
        <w:t xml:space="preserve">יצוין כבר עתה, כי מצאתי לקבל את עתירת האשה לחיוב האיש בדמי שימוש ראויים, זאת על רקע פסיקותיי שניתנו לעיל ועל יסוד העדויות שנשמעו, חקירות הצדדים והמסכת העובדתית שנפרשה לפני. </w:t>
      </w:r>
    </w:p>
    <w:p w:rsidR="004F54D7" w:rsidRDefault="004F54D7" w:rsidP="004F54D7">
      <w:pPr>
        <w:pStyle w:val="ad"/>
        <w:spacing w:after="120" w:line="360" w:lineRule="auto"/>
        <w:ind w:left="357"/>
        <w:jc w:val="both"/>
      </w:pPr>
    </w:p>
    <w:p w:rsidR="004F54D7" w:rsidRDefault="004F54D7" w:rsidP="004F54D7">
      <w:pPr>
        <w:pStyle w:val="ad"/>
        <w:numPr>
          <w:ilvl w:val="0"/>
          <w:numId w:val="1"/>
        </w:numPr>
        <w:spacing w:after="120" w:line="360" w:lineRule="auto"/>
        <w:ind w:left="357" w:hanging="357"/>
        <w:jc w:val="both"/>
        <w:rPr>
          <w:b/>
          <w:bCs/>
          <w:i/>
          <w:iCs/>
        </w:rPr>
      </w:pPr>
      <w:r>
        <w:rPr>
          <w:rtl/>
        </w:rPr>
        <w:t>אין חולק</w:t>
      </w:r>
      <w:r w:rsidR="00146E8E">
        <w:rPr>
          <w:rFonts w:hint="cs"/>
          <w:rtl/>
        </w:rPr>
        <w:t>,</w:t>
      </w:r>
      <w:r>
        <w:rPr>
          <w:rtl/>
        </w:rPr>
        <w:t xml:space="preserve"> כי מזה כארבע שנים האיש עושה שימוש בלעדי בדירת המגורים. האשה עזבה את דירת המגורים מרצונה ביום 23.7.2017 וכפי שעולה מדבריה, מועד עזיבתה הסופי, לאחר ניסיונות לשיקום היחסים, היה ביום 25.10.2017. לאחר עזיבתה, התגוררה פרק זמן ארוך בדירות בנותיהם של הצדדים, עד שהתמקמה בדירה שכורה, בגינה משלמת 4,000 ₪ לחודש.</w:t>
      </w:r>
    </w:p>
    <w:p w:rsidR="004F54D7" w:rsidRDefault="004F54D7" w:rsidP="004F54D7">
      <w:pPr>
        <w:pStyle w:val="ad"/>
      </w:pPr>
    </w:p>
    <w:p w:rsidR="004F54D7" w:rsidRDefault="004F54D7" w:rsidP="004F54D7">
      <w:pPr>
        <w:pStyle w:val="ad"/>
        <w:numPr>
          <w:ilvl w:val="0"/>
          <w:numId w:val="1"/>
        </w:numPr>
        <w:spacing w:after="120" w:line="360" w:lineRule="auto"/>
        <w:ind w:left="357" w:hanging="357"/>
        <w:jc w:val="both"/>
        <w:rPr>
          <w:rtl/>
        </w:rPr>
      </w:pPr>
      <w:r>
        <w:rPr>
          <w:rtl/>
        </w:rPr>
        <w:t>זמן קצר לאחר יציאתה מהדירה, בחודש נובמבר 2017, עתרה האשה בתביעה זו במסגרתה ביקשה לחייב את האיש בדמי שימוש ראויים. מאז ועד היום ולנוכח התמשכות ההליכים, בין היתר לאור עמידתו הדווקנית של האיש על אכיפת הסכם הגירושין שנדחה במסגרת פסק דיני זה, נמנעת מן האשה היכולת לעשות שימוש וליהנות מן הכנס שבבעלותה.</w:t>
      </w:r>
    </w:p>
    <w:p w:rsidR="004F54D7" w:rsidRDefault="004F54D7" w:rsidP="004F54D7">
      <w:pPr>
        <w:pStyle w:val="ad"/>
        <w:spacing w:after="120" w:line="360" w:lineRule="auto"/>
        <w:ind w:left="357"/>
        <w:jc w:val="both"/>
      </w:pPr>
    </w:p>
    <w:p w:rsidR="004F54D7" w:rsidRDefault="004F54D7" w:rsidP="004F54D7">
      <w:pPr>
        <w:pStyle w:val="ad"/>
        <w:numPr>
          <w:ilvl w:val="0"/>
          <w:numId w:val="1"/>
        </w:numPr>
        <w:spacing w:after="120" w:line="360" w:lineRule="auto"/>
        <w:ind w:left="357" w:hanging="357"/>
        <w:jc w:val="both"/>
        <w:rPr>
          <w:rtl/>
        </w:rPr>
      </w:pPr>
      <w:r>
        <w:rPr>
          <w:rtl/>
        </w:rPr>
        <w:t>האיש טען</w:t>
      </w:r>
      <w:r w:rsidR="00146E8E">
        <w:rPr>
          <w:rFonts w:hint="cs"/>
          <w:rtl/>
        </w:rPr>
        <w:t>,</w:t>
      </w:r>
      <w:r>
        <w:rPr>
          <w:rtl/>
        </w:rPr>
        <w:t xml:space="preserve"> כי ביום חתימת הסכם חלוקת הממון, קרי ביום 23.7.2017, האשה היא שעזבה מרצונה ומסרה לו את מפתחות הבית. כשנשאל באם מנע את כניסתה לדירה לאחר מכן, השיב: </w:t>
      </w:r>
    </w:p>
    <w:p w:rsidR="004F54D7" w:rsidRDefault="004F54D7" w:rsidP="00716656">
      <w:pPr>
        <w:pStyle w:val="ad"/>
        <w:spacing w:after="120" w:line="360" w:lineRule="auto"/>
        <w:jc w:val="both"/>
        <w:rPr>
          <w:rFonts w:cs="Guttman Yad-Brush"/>
          <w:rtl/>
        </w:rPr>
      </w:pPr>
      <w:r>
        <w:rPr>
          <w:b/>
          <w:bCs/>
          <w:rtl/>
        </w:rPr>
        <w:t>"חודשים היה אצלה מפתח, כל יום שהיא באה ל</w:t>
      </w:r>
      <w:r w:rsidR="00F824D2">
        <w:rPr>
          <w:rFonts w:hint="cs"/>
          <w:b/>
          <w:bCs/>
          <w:rtl/>
        </w:rPr>
        <w:t>עיר</w:t>
      </w:r>
      <w:r w:rsidR="00716656">
        <w:rPr>
          <w:rFonts w:hint="cs"/>
          <w:b/>
          <w:bCs/>
          <w:rtl/>
        </w:rPr>
        <w:t xml:space="preserve"> </w:t>
      </w:r>
      <w:r w:rsidR="00716656">
        <w:rPr>
          <w:b/>
          <w:bCs/>
        </w:rPr>
        <w:t>m</w:t>
      </w:r>
      <w:r>
        <w:rPr>
          <w:b/>
          <w:bCs/>
          <w:rtl/>
        </w:rPr>
        <w:t>, היא עובדת ב</w:t>
      </w:r>
      <w:r w:rsidR="00F824D2">
        <w:rPr>
          <w:rFonts w:hint="cs"/>
          <w:b/>
          <w:bCs/>
          <w:rtl/>
        </w:rPr>
        <w:t>עיר</w:t>
      </w:r>
      <w:r w:rsidR="00716656">
        <w:rPr>
          <w:rFonts w:hint="cs"/>
          <w:b/>
          <w:bCs/>
          <w:rtl/>
        </w:rPr>
        <w:t xml:space="preserve"> </w:t>
      </w:r>
      <w:r w:rsidR="00716656">
        <w:rPr>
          <w:b/>
          <w:bCs/>
        </w:rPr>
        <w:t>m</w:t>
      </w:r>
      <w:r w:rsidR="00716656">
        <w:rPr>
          <w:rFonts w:hint="cs"/>
          <w:b/>
          <w:bCs/>
          <w:rtl/>
        </w:rPr>
        <w:t xml:space="preserve"> </w:t>
      </w:r>
      <w:r>
        <w:rPr>
          <w:b/>
          <w:bCs/>
          <w:rtl/>
        </w:rPr>
        <w:t>, עדיין עובדת ב</w:t>
      </w:r>
      <w:r w:rsidR="00F824D2">
        <w:rPr>
          <w:rFonts w:hint="cs"/>
          <w:b/>
          <w:bCs/>
          <w:rtl/>
        </w:rPr>
        <w:t>עיר</w:t>
      </w:r>
      <w:r w:rsidR="00716656">
        <w:rPr>
          <w:rFonts w:hint="cs"/>
          <w:b/>
          <w:bCs/>
          <w:rtl/>
        </w:rPr>
        <w:t xml:space="preserve"> </w:t>
      </w:r>
      <w:r w:rsidR="00716656">
        <w:rPr>
          <w:b/>
          <w:bCs/>
        </w:rPr>
        <w:t>m</w:t>
      </w:r>
      <w:r>
        <w:rPr>
          <w:b/>
          <w:bCs/>
          <w:rtl/>
        </w:rPr>
        <w:t xml:space="preserve">. כל יום היא נכנסת לבית, יש לה מפתח והיא לוקחת מה שהיא רוצה. עד שנשאר כמה פריטים, ריכזתי אותם בחדר, בכניסה לבית, ויום אחד אני ישן בבית, היא הביאה מוביל, משאית עם 4 מובילים ופורץ, ופורצים את הדלת להוריד את כל הבית, ואני </w:t>
      </w:r>
      <w:r>
        <w:rPr>
          <w:b/>
          <w:bCs/>
          <w:rtl/>
        </w:rPr>
        <w:lastRenderedPageBreak/>
        <w:t xml:space="preserve">התעוררתי מהבהלה. בן אדם בתוך הבית פורצים לו, באים עם משאית 3 מובילים." </w:t>
      </w:r>
      <w:r>
        <w:rPr>
          <w:rFonts w:ascii="David" w:hAnsi="David"/>
          <w:rtl/>
        </w:rPr>
        <w:t>(ראה עמודים 323-324 לפרוטוקול מיום 22.11.2020).</w:t>
      </w:r>
      <w:r>
        <w:rPr>
          <w:rFonts w:cs="Guttman Yad-Brush" w:hint="cs"/>
          <w:rtl/>
        </w:rPr>
        <w:t xml:space="preserve"> </w:t>
      </w:r>
    </w:p>
    <w:p w:rsidR="004F54D7" w:rsidRDefault="004F54D7" w:rsidP="004F54D7">
      <w:pPr>
        <w:pStyle w:val="ad"/>
        <w:rPr>
          <w:rtl/>
        </w:rPr>
      </w:pPr>
    </w:p>
    <w:p w:rsidR="004F54D7" w:rsidRDefault="004F54D7" w:rsidP="004F54D7">
      <w:pPr>
        <w:pStyle w:val="ad"/>
        <w:numPr>
          <w:ilvl w:val="0"/>
          <w:numId w:val="1"/>
        </w:numPr>
        <w:spacing w:after="120" w:line="360" w:lineRule="auto"/>
        <w:ind w:left="357" w:hanging="357"/>
        <w:jc w:val="both"/>
        <w:rPr>
          <w:rtl/>
        </w:rPr>
      </w:pPr>
      <w:r>
        <w:rPr>
          <w:rtl/>
        </w:rPr>
        <w:t xml:space="preserve">לשאלת ב"כ האשה מדוע נדרשה האשה לפרוץ את הדירה, כפי שתיאר זאת בדבריו, התחמק ולא נימק (שם, בעמוד 323). האשה טענה מנגד כי לאחר מסירת המפתחות לאיש, מנע הוא את כניסתה לדירה, אף לא לצורך נטילת חפציה האישיים. </w:t>
      </w:r>
    </w:p>
    <w:p w:rsidR="004F54D7" w:rsidRDefault="004F54D7" w:rsidP="004F54D7">
      <w:pPr>
        <w:pStyle w:val="ad"/>
        <w:spacing w:after="120" w:line="360" w:lineRule="auto"/>
        <w:ind w:left="357"/>
        <w:jc w:val="both"/>
      </w:pPr>
    </w:p>
    <w:p w:rsidR="004F54D7" w:rsidRDefault="004F54D7" w:rsidP="004F54D7">
      <w:pPr>
        <w:pStyle w:val="ad"/>
        <w:numPr>
          <w:ilvl w:val="0"/>
          <w:numId w:val="1"/>
        </w:numPr>
        <w:spacing w:after="120" w:line="360" w:lineRule="auto"/>
        <w:ind w:left="357" w:hanging="357"/>
        <w:jc w:val="both"/>
      </w:pPr>
      <w:r>
        <w:rPr>
          <w:rtl/>
        </w:rPr>
        <w:t xml:space="preserve">אלא שבבחינתו של האיש, הייתה האשה אסורה עליו, בשל בגידתה הנטענת עם אחרים. בנסיבות אלה, ברי כי לא הייתה זו האחרונה יכולה להמשיך להתגורר עמו בדירת המגורים. כך גם נלמד כי האיש דרש קבלת הדירה כתנאי גורף למתן גט לאשה ולשחרורה מנישואי הצדדים. קרי האיש תפס את הדירה כרכוש בלעדי שלו. </w:t>
      </w:r>
    </w:p>
    <w:p w:rsidR="004F54D7" w:rsidRDefault="004F54D7" w:rsidP="004F54D7">
      <w:pPr>
        <w:pStyle w:val="ad"/>
      </w:pPr>
    </w:p>
    <w:p w:rsidR="004F54D7" w:rsidRDefault="004F54D7" w:rsidP="004F54D7">
      <w:pPr>
        <w:pStyle w:val="ad"/>
        <w:numPr>
          <w:ilvl w:val="0"/>
          <w:numId w:val="1"/>
        </w:numPr>
        <w:spacing w:after="120" w:line="360" w:lineRule="auto"/>
        <w:ind w:left="357" w:hanging="357"/>
        <w:jc w:val="both"/>
        <w:rPr>
          <w:rtl/>
        </w:rPr>
      </w:pPr>
      <w:r>
        <w:rPr>
          <w:rtl/>
        </w:rPr>
        <w:t>זאת ועוד ולאור המסכת העובדתית שנלמדה, מפרוץ הסכסוך הזוגי, נהג האיש כלפי האשה באלימות מילולית קשה, תוך שהוא מכפיש ומאשים ללא הרף כי היא מקיימת יחסים עם אחרים. קנאותו לא אפשרה המשך מגורים נורמטיביים ושלווים של האשה לצידו בבית.</w:t>
      </w:r>
    </w:p>
    <w:p w:rsidR="004F54D7" w:rsidRDefault="004F54D7" w:rsidP="004F54D7"/>
    <w:p w:rsidR="004F54D7" w:rsidRDefault="004F54D7" w:rsidP="00146E8E">
      <w:pPr>
        <w:pStyle w:val="ad"/>
        <w:numPr>
          <w:ilvl w:val="0"/>
          <w:numId w:val="1"/>
        </w:numPr>
        <w:spacing w:after="120" w:line="360" w:lineRule="auto"/>
        <w:ind w:left="357" w:hanging="357"/>
        <w:jc w:val="both"/>
        <w:rPr>
          <w:rtl/>
        </w:rPr>
      </w:pPr>
      <w:r>
        <w:rPr>
          <w:rtl/>
        </w:rPr>
        <w:t xml:space="preserve">בהתנהלות חמורה זו של האיש </w:t>
      </w:r>
      <w:r w:rsidR="00146E8E">
        <w:rPr>
          <w:rFonts w:hint="cs"/>
          <w:rtl/>
        </w:rPr>
        <w:t xml:space="preserve">יש לראות משום </w:t>
      </w:r>
      <w:r>
        <w:rPr>
          <w:rtl/>
        </w:rPr>
        <w:t>מניעה שלא אפשרה לאשה שימוש בדירת המגורים</w:t>
      </w:r>
      <w:r w:rsidR="00146E8E">
        <w:rPr>
          <w:rFonts w:hint="cs"/>
          <w:rtl/>
        </w:rPr>
        <w:t>; זאת</w:t>
      </w:r>
      <w:r>
        <w:rPr>
          <w:rtl/>
        </w:rPr>
        <w:t xml:space="preserve"> באופן המזכה אותה בדמי שימוש ראויים. </w:t>
      </w:r>
    </w:p>
    <w:p w:rsidR="004F54D7" w:rsidRDefault="004F54D7" w:rsidP="004F54D7">
      <w:pPr>
        <w:pStyle w:val="ad"/>
        <w:spacing w:after="120" w:line="360" w:lineRule="auto"/>
        <w:ind w:left="357"/>
        <w:jc w:val="both"/>
      </w:pPr>
    </w:p>
    <w:p w:rsidR="004F54D7" w:rsidRDefault="00146E8E" w:rsidP="004F54D7">
      <w:pPr>
        <w:pStyle w:val="ad"/>
        <w:numPr>
          <w:ilvl w:val="0"/>
          <w:numId w:val="1"/>
        </w:numPr>
        <w:spacing w:after="120" w:line="360" w:lineRule="auto"/>
        <w:ind w:left="357" w:hanging="357"/>
        <w:jc w:val="both"/>
      </w:pPr>
      <w:r>
        <w:rPr>
          <w:rtl/>
        </w:rPr>
        <w:t xml:space="preserve">גם מועד הגשת התביעה בידי האשה </w:t>
      </w:r>
      <w:r w:rsidR="004F54D7">
        <w:rPr>
          <w:rtl/>
        </w:rPr>
        <w:t>סמוך לאחר יציאתה מן הדירה והתפכחותה מניסיונות שלום הבית, מלמדת כי זו לא וויתרה על זכותה בדירת המגורים, ליהנות ולהשתמש בה.</w:t>
      </w:r>
    </w:p>
    <w:p w:rsidR="004F54D7" w:rsidRPr="00146E8E" w:rsidRDefault="004F54D7" w:rsidP="004F54D7">
      <w:pPr>
        <w:pStyle w:val="ad"/>
      </w:pPr>
    </w:p>
    <w:p w:rsidR="004F54D7" w:rsidRDefault="004F54D7" w:rsidP="004F54D7">
      <w:pPr>
        <w:pStyle w:val="ad"/>
        <w:numPr>
          <w:ilvl w:val="0"/>
          <w:numId w:val="1"/>
        </w:numPr>
        <w:spacing w:after="120" w:line="360" w:lineRule="auto"/>
        <w:ind w:left="357" w:hanging="357"/>
        <w:jc w:val="both"/>
        <w:rPr>
          <w:rtl/>
        </w:rPr>
      </w:pPr>
      <w:r>
        <w:rPr>
          <w:rtl/>
        </w:rPr>
        <w:t xml:space="preserve">לעניין שיעור דמי השימוש הראויים; טענה האשה כי עלות השכירות בנכס הינה 6,000 ₪ לחודש, מכאן יש לגזור לה מחצית ואילו האיש טען כי שכר הדירה הינו 5,000 ₪ לחודש (ראה בחקירתו מיום 22.11.2020); בנסיבות אלה מצאתי לאמור את דמי השכירות על דרך האומדנא ולהעמידם על סך של 5,500 ₪ </w:t>
      </w:r>
    </w:p>
    <w:p w:rsidR="004F54D7" w:rsidRDefault="004F54D7" w:rsidP="004F54D7">
      <w:pPr>
        <w:pStyle w:val="ad"/>
      </w:pPr>
    </w:p>
    <w:p w:rsidR="004F54D7" w:rsidRDefault="004F54D7" w:rsidP="004F54D7">
      <w:pPr>
        <w:pStyle w:val="ad"/>
        <w:numPr>
          <w:ilvl w:val="0"/>
          <w:numId w:val="1"/>
        </w:numPr>
        <w:spacing w:after="120" w:line="360" w:lineRule="auto"/>
        <w:ind w:left="357" w:hanging="357"/>
        <w:jc w:val="both"/>
        <w:rPr>
          <w:rtl/>
        </w:rPr>
      </w:pPr>
      <w:r>
        <w:rPr>
          <w:rtl/>
        </w:rPr>
        <w:t>אשר על כן ומשמצאתי לקבל את עתירת האשה לחיוב בדמי שימוש ראויים, הריני מורה על על חיוב האיש בתשלום דמי שימוש ראויים בסך של 2,750 ₪ לחודש, החל ממועד עזיבת האשה את הדירה ועד למועד מכירתה בפועל.</w:t>
      </w:r>
    </w:p>
    <w:p w:rsidR="004F54D7" w:rsidRDefault="004F54D7" w:rsidP="004F54D7">
      <w:pPr>
        <w:pStyle w:val="ad"/>
        <w:rPr>
          <w:rtl/>
        </w:rPr>
      </w:pPr>
    </w:p>
    <w:p w:rsidR="0000667D" w:rsidRDefault="0000667D" w:rsidP="0000667D">
      <w:pPr>
        <w:pStyle w:val="ad"/>
        <w:rPr>
          <w:rtl/>
        </w:rPr>
      </w:pPr>
    </w:p>
    <w:p w:rsidR="0000667D" w:rsidRDefault="0000667D" w:rsidP="0000667D">
      <w:pPr>
        <w:pStyle w:val="ad"/>
        <w:rPr>
          <w:rtl/>
        </w:rPr>
      </w:pPr>
    </w:p>
    <w:p w:rsidR="0000667D" w:rsidRDefault="0000667D" w:rsidP="0000667D">
      <w:pPr>
        <w:pStyle w:val="ad"/>
      </w:pPr>
    </w:p>
    <w:p w:rsidR="004F54D7" w:rsidRDefault="004F54D7" w:rsidP="00CE7EA1">
      <w:pPr>
        <w:pStyle w:val="ad"/>
        <w:numPr>
          <w:ilvl w:val="0"/>
          <w:numId w:val="1"/>
        </w:numPr>
        <w:spacing w:after="120" w:line="360" w:lineRule="auto"/>
        <w:ind w:left="357" w:hanging="357"/>
        <w:jc w:val="both"/>
      </w:pPr>
      <w:r>
        <w:rPr>
          <w:rtl/>
        </w:rPr>
        <w:lastRenderedPageBreak/>
        <w:t>בראי ההכרעות במסגרת פסק-דין זה, בשלושת התביעות שהונחו לפני, מצאתי להורות על חיוב האיש בהוצאות מ</w:t>
      </w:r>
      <w:r w:rsidR="00146E8E">
        <w:rPr>
          <w:rtl/>
        </w:rPr>
        <w:t>שפט ושכ"ט עו"ד, בסך של 3</w:t>
      </w:r>
      <w:r w:rsidR="00CE7EA1">
        <w:rPr>
          <w:rFonts w:hint="cs"/>
          <w:rtl/>
        </w:rPr>
        <w:t>6</w:t>
      </w:r>
      <w:r w:rsidR="00146E8E">
        <w:rPr>
          <w:rtl/>
        </w:rPr>
        <w:t>,000 ₪</w:t>
      </w:r>
      <w:r w:rsidR="00146E8E">
        <w:rPr>
          <w:rFonts w:hint="cs"/>
          <w:rtl/>
        </w:rPr>
        <w:t xml:space="preserve">, </w:t>
      </w:r>
      <w:r>
        <w:rPr>
          <w:rtl/>
        </w:rPr>
        <w:t>אשר יושלמו</w:t>
      </w:r>
      <w:r w:rsidR="00F26C9D">
        <w:rPr>
          <w:rFonts w:hint="cs"/>
          <w:rtl/>
        </w:rPr>
        <w:t xml:space="preserve"> לידי התובעת</w:t>
      </w:r>
      <w:r>
        <w:rPr>
          <w:rtl/>
        </w:rPr>
        <w:t xml:space="preserve"> </w:t>
      </w:r>
      <w:r w:rsidR="004A5228">
        <w:rPr>
          <w:rFonts w:hint="cs"/>
          <w:rtl/>
        </w:rPr>
        <w:t>מתוך חלקו של הנתבע בדירה.</w:t>
      </w:r>
    </w:p>
    <w:p w:rsidR="00146E8E" w:rsidRDefault="00146E8E" w:rsidP="00146E8E">
      <w:pPr>
        <w:pStyle w:val="ad"/>
        <w:rPr>
          <w:rtl/>
        </w:rPr>
      </w:pPr>
    </w:p>
    <w:p w:rsidR="004F54D7" w:rsidRDefault="004F54D7" w:rsidP="004F54D7">
      <w:pPr>
        <w:spacing w:after="120" w:line="360" w:lineRule="auto"/>
        <w:jc w:val="both"/>
        <w:rPr>
          <w:b/>
          <w:bCs/>
          <w:u w:val="single"/>
        </w:rPr>
      </w:pPr>
      <w:r>
        <w:rPr>
          <w:b/>
          <w:bCs/>
          <w:u w:val="single"/>
          <w:rtl/>
        </w:rPr>
        <w:t>המזכירות תמציא פסה"ד לידי הצדדים ותסגור את כלל ההליכים התלויים ועומדים.</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ניסן תשפ"ב</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אפריל 2022</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B18F9" w:rsidP="00633C4F">
      <w:pPr>
        <w:spacing w:line="360" w:lineRule="auto"/>
        <w:ind w:left="3600" w:firstLine="720"/>
      </w:pPr>
      <w:sdt>
        <w:sdtPr>
          <w:rPr>
            <w:rtl/>
          </w:rPr>
          <w:alias w:val="MergeField"/>
          <w:tag w:val="1237"/>
          <w:id w:val="1775891764"/>
        </w:sdtPr>
        <w:sdtEndPr/>
        <w:sdtContent>
          <w:r w:rsidR="000C4AE2">
            <w:drawing>
              <wp:inline distT="0" distB="0" distL="0" distR="0" wp14:editId="50D07946">
                <wp:extent cx="13430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9620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287" w:rsidRDefault="00511287">
      <w:r>
        <w:separator/>
      </w:r>
    </w:p>
  </w:endnote>
  <w:endnote w:type="continuationSeparator" w:id="0">
    <w:p w:rsidR="00511287" w:rsidRDefault="00511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ttman Yad-Brush">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8F9" w:rsidRDefault="00BB18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B18F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B18F9">
      <w:rPr>
        <w:rStyle w:val="ab"/>
        <w:rtl/>
      </w:rPr>
      <w:t>40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8F9" w:rsidRDefault="00BB18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287" w:rsidRDefault="00511287">
      <w:r>
        <w:separator/>
      </w:r>
    </w:p>
  </w:footnote>
  <w:footnote w:type="continuationSeparator" w:id="0">
    <w:p w:rsidR="00511287" w:rsidRDefault="00511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8F9" w:rsidRDefault="00BB18F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B18F9" w:rsidP="00A71419">
          <w:pPr>
            <w:rPr>
              <w:b/>
              <w:bCs/>
              <w:noProof w:val="0"/>
              <w:sz w:val="26"/>
              <w:szCs w:val="26"/>
              <w:rtl/>
            </w:rPr>
          </w:pPr>
          <w:sdt>
            <w:sdtPr>
              <w:rPr>
                <w:b/>
                <w:bCs/>
                <w:noProof w:val="0"/>
                <w:sz w:val="26"/>
                <w:szCs w:val="26"/>
                <w:rtl/>
              </w:rPr>
              <w:alias w:val="1170"/>
              <w:tag w:val="1170"/>
              <w:id w:val="299038016"/>
              <w:text w:multiLine="1"/>
            </w:sdtPr>
            <w:sdtEndPr/>
            <w:sdtContent>
              <w:r w:rsidR="0027277D">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27277D">
                <w:rPr>
                  <w:b/>
                  <w:bCs/>
                  <w:noProof w:val="0"/>
                  <w:sz w:val="26"/>
                  <w:szCs w:val="26"/>
                  <w:rtl/>
                </w:rPr>
                <w:t>41708-02-18</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0562E">
                <w:rPr>
                  <w:b/>
                  <w:bCs/>
                  <w:noProof w:val="0"/>
                  <w:sz w:val="26"/>
                  <w:szCs w:val="26"/>
                  <w:rtl/>
                </w:rPr>
                <w:br/>
              </w:r>
              <w:r w:rsidR="00A0562E">
                <w:rPr>
                  <w:rFonts w:hint="cs"/>
                  <w:b/>
                  <w:bCs/>
                  <w:noProof w:val="0"/>
                  <w:sz w:val="26"/>
                  <w:szCs w:val="26"/>
                  <w:rtl/>
                </w:rPr>
                <w:t xml:space="preserve">תלה"מ 36501-08-18 </w:t>
              </w:r>
              <w:r w:rsidR="00A0562E">
                <w:rPr>
                  <w:b/>
                  <w:bCs/>
                  <w:noProof w:val="0"/>
                  <w:sz w:val="26"/>
                  <w:szCs w:val="26"/>
                  <w:rtl/>
                </w:rPr>
                <w:br/>
              </w:r>
              <w:r w:rsidR="00A0562E">
                <w:rPr>
                  <w:rFonts w:hint="cs"/>
                  <w:b/>
                  <w:bCs/>
                  <w:noProof w:val="0"/>
                  <w:sz w:val="26"/>
                  <w:szCs w:val="26"/>
                  <w:rtl/>
                </w:rPr>
                <w:t xml:space="preserve">תלה"מ 36898-04-18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8F9" w:rsidRDefault="00BB18F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F542A"/>
    <w:multiLevelType w:val="hybridMultilevel"/>
    <w:tmpl w:val="533A559C"/>
    <w:lvl w:ilvl="0" w:tplc="04090013">
      <w:start w:val="1"/>
      <w:numFmt w:val="hebrew1"/>
      <w:lvlText w:val="%1."/>
      <w:lvlJc w:val="center"/>
      <w:pPr>
        <w:ind w:left="360" w:hanging="360"/>
      </w:pPr>
      <w:rPr>
        <w:b w:val="0"/>
        <w:bCs w:val="0"/>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5AE5BED"/>
    <w:multiLevelType w:val="hybridMultilevel"/>
    <w:tmpl w:val="9FB0BC62"/>
    <w:lvl w:ilvl="0" w:tplc="04090013">
      <w:start w:val="1"/>
      <w:numFmt w:val="hebrew1"/>
      <w:lvlText w:val="%1."/>
      <w:lvlJc w:val="center"/>
      <w:pPr>
        <w:ind w:left="360" w:hanging="360"/>
      </w:pPr>
      <w:rPr>
        <w:b w:val="0"/>
        <w:bCs w:val="0"/>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56CE676C"/>
    <w:multiLevelType w:val="hybridMultilevel"/>
    <w:tmpl w:val="AC581F0C"/>
    <w:lvl w:ilvl="0" w:tplc="585AD020">
      <w:start w:val="1"/>
      <w:numFmt w:val="decimal"/>
      <w:lvlText w:val="%1."/>
      <w:lvlJc w:val="left"/>
      <w:pPr>
        <w:ind w:left="360" w:hanging="360"/>
      </w:pPr>
      <w:rPr>
        <w:b w:val="0"/>
        <w:bCs w:val="0"/>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6B637625"/>
    <w:multiLevelType w:val="hybridMultilevel"/>
    <w:tmpl w:val="7B362B0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hint="default"/>
      </w:rPr>
    </w:lvl>
  </w:abstractNum>
  <w:abstractNum w:abstractNumId="4" w15:restartNumberingAfterBreak="0">
    <w:nsid w:val="6C5375FE"/>
    <w:multiLevelType w:val="hybridMultilevel"/>
    <w:tmpl w:val="F3D6DE4C"/>
    <w:lvl w:ilvl="0" w:tplc="4BCC30B6">
      <w:start w:val="1"/>
      <w:numFmt w:val="hebrew1"/>
      <w:lvlText w:val="%1."/>
      <w:lvlJc w:val="left"/>
      <w:pPr>
        <w:ind w:left="717" w:hanging="360"/>
      </w:p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5" w15:restartNumberingAfterBreak="0">
    <w:nsid w:val="795630E3"/>
    <w:multiLevelType w:val="hybridMultilevel"/>
    <w:tmpl w:val="A7FE61CC"/>
    <w:lvl w:ilvl="0" w:tplc="874E3EA4">
      <w:start w:val="1"/>
      <w:numFmt w:val="hebrew1"/>
      <w:lvlText w:val="%1."/>
      <w:lvlJc w:val="left"/>
      <w:pPr>
        <w:ind w:left="717" w:hanging="360"/>
      </w:p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0667D"/>
    <w:rsid w:val="000146C2"/>
    <w:rsid w:val="000149A0"/>
    <w:rsid w:val="00016C35"/>
    <w:rsid w:val="00023534"/>
    <w:rsid w:val="00024EAF"/>
    <w:rsid w:val="000258FD"/>
    <w:rsid w:val="000564AB"/>
    <w:rsid w:val="0006248D"/>
    <w:rsid w:val="0006601F"/>
    <w:rsid w:val="00080BBC"/>
    <w:rsid w:val="00087614"/>
    <w:rsid w:val="000A1D93"/>
    <w:rsid w:val="000C4AE2"/>
    <w:rsid w:val="000C627A"/>
    <w:rsid w:val="000D47AA"/>
    <w:rsid w:val="000D4A02"/>
    <w:rsid w:val="000D7F35"/>
    <w:rsid w:val="000F0CDE"/>
    <w:rsid w:val="000F2FFF"/>
    <w:rsid w:val="000F46C3"/>
    <w:rsid w:val="000F47F6"/>
    <w:rsid w:val="0010556C"/>
    <w:rsid w:val="00106413"/>
    <w:rsid w:val="0010715C"/>
    <w:rsid w:val="001072A9"/>
    <w:rsid w:val="00121F97"/>
    <w:rsid w:val="0012571E"/>
    <w:rsid w:val="001277D7"/>
    <w:rsid w:val="001314BE"/>
    <w:rsid w:val="00132017"/>
    <w:rsid w:val="00140C73"/>
    <w:rsid w:val="0014234E"/>
    <w:rsid w:val="00142B5B"/>
    <w:rsid w:val="00142CD1"/>
    <w:rsid w:val="00145A87"/>
    <w:rsid w:val="00146E8E"/>
    <w:rsid w:val="0015042E"/>
    <w:rsid w:val="00152346"/>
    <w:rsid w:val="00152653"/>
    <w:rsid w:val="00156705"/>
    <w:rsid w:val="00157E8C"/>
    <w:rsid w:val="001A4364"/>
    <w:rsid w:val="001C4003"/>
    <w:rsid w:val="001C7601"/>
    <w:rsid w:val="001D057B"/>
    <w:rsid w:val="001D3FD4"/>
    <w:rsid w:val="001E4491"/>
    <w:rsid w:val="001F1C0F"/>
    <w:rsid w:val="001F5474"/>
    <w:rsid w:val="00200AAB"/>
    <w:rsid w:val="00235180"/>
    <w:rsid w:val="002352F7"/>
    <w:rsid w:val="00255F3B"/>
    <w:rsid w:val="0027277D"/>
    <w:rsid w:val="002B0D79"/>
    <w:rsid w:val="002B491F"/>
    <w:rsid w:val="002B7957"/>
    <w:rsid w:val="002F0117"/>
    <w:rsid w:val="003036E2"/>
    <w:rsid w:val="003058EB"/>
    <w:rsid w:val="00310EBE"/>
    <w:rsid w:val="0032044B"/>
    <w:rsid w:val="00330324"/>
    <w:rsid w:val="00381D3A"/>
    <w:rsid w:val="003823DA"/>
    <w:rsid w:val="003B0DB8"/>
    <w:rsid w:val="003C69A7"/>
    <w:rsid w:val="00402DA6"/>
    <w:rsid w:val="00414A22"/>
    <w:rsid w:val="00431488"/>
    <w:rsid w:val="0043595F"/>
    <w:rsid w:val="00446F2A"/>
    <w:rsid w:val="0047645A"/>
    <w:rsid w:val="00476B64"/>
    <w:rsid w:val="004902B7"/>
    <w:rsid w:val="004A07FB"/>
    <w:rsid w:val="004A484D"/>
    <w:rsid w:val="004A5228"/>
    <w:rsid w:val="004A5D44"/>
    <w:rsid w:val="004D226A"/>
    <w:rsid w:val="004D49A3"/>
    <w:rsid w:val="004D50AC"/>
    <w:rsid w:val="004D5508"/>
    <w:rsid w:val="004E6E3C"/>
    <w:rsid w:val="004F54D7"/>
    <w:rsid w:val="004F5FE4"/>
    <w:rsid w:val="00511287"/>
    <w:rsid w:val="005124F1"/>
    <w:rsid w:val="00530BAD"/>
    <w:rsid w:val="005401FE"/>
    <w:rsid w:val="00541598"/>
    <w:rsid w:val="00547DB7"/>
    <w:rsid w:val="00567324"/>
    <w:rsid w:val="005B0F49"/>
    <w:rsid w:val="005C7EC6"/>
    <w:rsid w:val="005D17B1"/>
    <w:rsid w:val="005D3876"/>
    <w:rsid w:val="005D4BDB"/>
    <w:rsid w:val="005E0D64"/>
    <w:rsid w:val="005E5119"/>
    <w:rsid w:val="005E6222"/>
    <w:rsid w:val="00605D29"/>
    <w:rsid w:val="006135E9"/>
    <w:rsid w:val="006142FE"/>
    <w:rsid w:val="00616127"/>
    <w:rsid w:val="00622BAA"/>
    <w:rsid w:val="00625C89"/>
    <w:rsid w:val="00633C4F"/>
    <w:rsid w:val="00647514"/>
    <w:rsid w:val="00671BD5"/>
    <w:rsid w:val="00677B69"/>
    <w:rsid w:val="006805C1"/>
    <w:rsid w:val="006816EC"/>
    <w:rsid w:val="00694556"/>
    <w:rsid w:val="006B1648"/>
    <w:rsid w:val="006E1A53"/>
    <w:rsid w:val="00700739"/>
    <w:rsid w:val="007026C2"/>
    <w:rsid w:val="007056AA"/>
    <w:rsid w:val="00710B14"/>
    <w:rsid w:val="00716656"/>
    <w:rsid w:val="007177F8"/>
    <w:rsid w:val="007242A1"/>
    <w:rsid w:val="007267F1"/>
    <w:rsid w:val="00733E9A"/>
    <w:rsid w:val="00744F41"/>
    <w:rsid w:val="007670A6"/>
    <w:rsid w:val="007A24FE"/>
    <w:rsid w:val="007A35AA"/>
    <w:rsid w:val="007C0CBC"/>
    <w:rsid w:val="007D1191"/>
    <w:rsid w:val="007F1048"/>
    <w:rsid w:val="007F4084"/>
    <w:rsid w:val="00820005"/>
    <w:rsid w:val="0083544F"/>
    <w:rsid w:val="00835A51"/>
    <w:rsid w:val="00843A15"/>
    <w:rsid w:val="00843F58"/>
    <w:rsid w:val="00846D27"/>
    <w:rsid w:val="008610A7"/>
    <w:rsid w:val="00873859"/>
    <w:rsid w:val="00874589"/>
    <w:rsid w:val="00876AF6"/>
    <w:rsid w:val="00881B18"/>
    <w:rsid w:val="00881F94"/>
    <w:rsid w:val="008863A3"/>
    <w:rsid w:val="008A2F56"/>
    <w:rsid w:val="008D345A"/>
    <w:rsid w:val="008E1332"/>
    <w:rsid w:val="008E205D"/>
    <w:rsid w:val="00903896"/>
    <w:rsid w:val="00927813"/>
    <w:rsid w:val="009329AA"/>
    <w:rsid w:val="00944D13"/>
    <w:rsid w:val="00950E04"/>
    <w:rsid w:val="00957C90"/>
    <w:rsid w:val="00985901"/>
    <w:rsid w:val="009C358E"/>
    <w:rsid w:val="009C694E"/>
    <w:rsid w:val="009C6AF6"/>
    <w:rsid w:val="009D211A"/>
    <w:rsid w:val="009E0263"/>
    <w:rsid w:val="00A0562E"/>
    <w:rsid w:val="00A11997"/>
    <w:rsid w:val="00A20696"/>
    <w:rsid w:val="00A267CF"/>
    <w:rsid w:val="00A378AC"/>
    <w:rsid w:val="00A43458"/>
    <w:rsid w:val="00A458E3"/>
    <w:rsid w:val="00A64337"/>
    <w:rsid w:val="00A71419"/>
    <w:rsid w:val="00A86868"/>
    <w:rsid w:val="00AC4E19"/>
    <w:rsid w:val="00AD55FD"/>
    <w:rsid w:val="00AE13AF"/>
    <w:rsid w:val="00AE183B"/>
    <w:rsid w:val="00AE3D47"/>
    <w:rsid w:val="00AF0DC6"/>
    <w:rsid w:val="00AF19E9"/>
    <w:rsid w:val="00AF1ED6"/>
    <w:rsid w:val="00B14BCE"/>
    <w:rsid w:val="00B32C61"/>
    <w:rsid w:val="00B368FE"/>
    <w:rsid w:val="00B40861"/>
    <w:rsid w:val="00B44690"/>
    <w:rsid w:val="00B4744A"/>
    <w:rsid w:val="00B519FA"/>
    <w:rsid w:val="00B626FB"/>
    <w:rsid w:val="00B634EE"/>
    <w:rsid w:val="00B80CBD"/>
    <w:rsid w:val="00B862C2"/>
    <w:rsid w:val="00BB18F9"/>
    <w:rsid w:val="00BB491B"/>
    <w:rsid w:val="00BC3369"/>
    <w:rsid w:val="00BF33CF"/>
    <w:rsid w:val="00BF5864"/>
    <w:rsid w:val="00BF77EE"/>
    <w:rsid w:val="00C32E0F"/>
    <w:rsid w:val="00C42BF9"/>
    <w:rsid w:val="00C76957"/>
    <w:rsid w:val="00C83E56"/>
    <w:rsid w:val="00CC3425"/>
    <w:rsid w:val="00CC63CE"/>
    <w:rsid w:val="00CE5231"/>
    <w:rsid w:val="00CE6DE5"/>
    <w:rsid w:val="00CE7DF7"/>
    <w:rsid w:val="00CE7EA1"/>
    <w:rsid w:val="00CF017C"/>
    <w:rsid w:val="00CF0620"/>
    <w:rsid w:val="00CF3565"/>
    <w:rsid w:val="00D039BE"/>
    <w:rsid w:val="00D102B8"/>
    <w:rsid w:val="00D135FB"/>
    <w:rsid w:val="00D15D59"/>
    <w:rsid w:val="00D319B3"/>
    <w:rsid w:val="00D3414C"/>
    <w:rsid w:val="00D36A71"/>
    <w:rsid w:val="00D53924"/>
    <w:rsid w:val="00D572C5"/>
    <w:rsid w:val="00D60849"/>
    <w:rsid w:val="00D756A7"/>
    <w:rsid w:val="00D96D8C"/>
    <w:rsid w:val="00D979E4"/>
    <w:rsid w:val="00DA5CAD"/>
    <w:rsid w:val="00DA755B"/>
    <w:rsid w:val="00DB646A"/>
    <w:rsid w:val="00DC0B3D"/>
    <w:rsid w:val="00DD337E"/>
    <w:rsid w:val="00DF2FE8"/>
    <w:rsid w:val="00DF5D46"/>
    <w:rsid w:val="00E00B6F"/>
    <w:rsid w:val="00E02B66"/>
    <w:rsid w:val="00E26876"/>
    <w:rsid w:val="00E500F5"/>
    <w:rsid w:val="00E54642"/>
    <w:rsid w:val="00E845B4"/>
    <w:rsid w:val="00E96931"/>
    <w:rsid w:val="00E97908"/>
    <w:rsid w:val="00EA14A8"/>
    <w:rsid w:val="00EC7425"/>
    <w:rsid w:val="00ED6F0F"/>
    <w:rsid w:val="00EE062B"/>
    <w:rsid w:val="00EE48D9"/>
    <w:rsid w:val="00EF3ED0"/>
    <w:rsid w:val="00F17E56"/>
    <w:rsid w:val="00F26C9D"/>
    <w:rsid w:val="00F30B8A"/>
    <w:rsid w:val="00F40365"/>
    <w:rsid w:val="00F716AC"/>
    <w:rsid w:val="00F72834"/>
    <w:rsid w:val="00F74B15"/>
    <w:rsid w:val="00F824D2"/>
    <w:rsid w:val="00FF775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4F54D7"/>
    <w:rPr>
      <w:color w:val="0000FF"/>
      <w:u w:val="single"/>
    </w:rPr>
  </w:style>
  <w:style w:type="paragraph" w:styleId="ad">
    <w:name w:val="List Paragraph"/>
    <w:basedOn w:val="a"/>
    <w:uiPriority w:val="34"/>
    <w:qFormat/>
    <w:rsid w:val="004F54D7"/>
    <w:pPr>
      <w:ind w:left="720"/>
      <w:contextualSpacing/>
    </w:pPr>
  </w:style>
  <w:style w:type="character" w:customStyle="1" w:styleId="normal-h">
    <w:name w:val="normal-h"/>
    <w:basedOn w:val="a0"/>
    <w:rsid w:val="004F54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44599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ttman Yad-Brush">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6F20CB"/>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7F31"/>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12107</Words>
  <Characters>60535</Characters>
  <Application>Microsoft Office Word</Application>
  <DocSecurity>0</DocSecurity>
  <Lines>504</Lines>
  <Paragraphs>144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2024-05-20T07:54:00Z</dcterms:created>
  <dcterms:modified xsi:type="dcterms:W3CDTF">2024-05-20T07:54:00Z</dcterms:modified>
</cp:coreProperties>
</file>